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b/>
                <w:bCs/>
                <w:vertAlign w:val="baseline"/>
                <w:lang w:eastAsia="zh-CN"/>
              </w:rPr>
            </w:pPr>
            <w:bookmarkStart w:id="0" w:name="_GoBack"/>
            <w:bookmarkEnd w:id="0"/>
            <w:r>
              <w:rPr>
                <w:rFonts w:hint="eastAsia"/>
                <w:b/>
                <w:bCs/>
                <w:vertAlign w:val="baseline"/>
                <w:lang w:eastAsia="zh-CN"/>
              </w:rPr>
              <w:t>基本情况</w:t>
            </w:r>
          </w:p>
          <w:p>
            <w:pPr>
              <w:jc w:val="center"/>
              <w:rPr>
                <w:b/>
                <w:bCs/>
                <w:vertAlign w:val="baseline"/>
              </w:rPr>
            </w:pP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 xml:space="preserve"> 罗俊礼</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249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女</w:t>
            </w:r>
          </w:p>
        </w:tc>
        <w:tc>
          <w:tcPr>
            <w:tcW w:w="1410" w:type="dxa"/>
            <w:vAlign w:val="center"/>
          </w:tcPr>
          <w:p>
            <w:pPr>
              <w:jc w:val="center"/>
              <w:rPr>
                <w:rFonts w:hint="default" w:eastAsiaTheme="minorEastAsia"/>
                <w:vertAlign w:val="baseline"/>
                <w:lang w:val="en-US" w:eastAsia="zh-CN"/>
              </w:rPr>
            </w:pPr>
            <w:r>
              <w:rPr>
                <w:rFonts w:hint="eastAsia"/>
                <w:vertAlign w:val="baseline"/>
                <w:lang w:val="en-US" w:eastAsia="zh-CN"/>
              </w:rPr>
              <w:t xml:space="preserve"> 出生年月</w:t>
            </w:r>
          </w:p>
        </w:tc>
        <w:tc>
          <w:tcPr>
            <w:tcW w:w="2145" w:type="dxa"/>
            <w:gridSpan w:val="3"/>
            <w:vAlign w:val="center"/>
          </w:tcPr>
          <w:p>
            <w:pPr>
              <w:jc w:val="center"/>
              <w:rPr>
                <w:rFonts w:hint="default"/>
                <w:vertAlign w:val="baseline"/>
                <w:lang w:val="en-US" w:eastAsia="zh-CN"/>
              </w:rPr>
            </w:pPr>
            <w:r>
              <w:rPr>
                <w:rFonts w:hint="eastAsia"/>
                <w:vertAlign w:val="baseline"/>
                <w:lang w:val="en-US" w:eastAsia="zh-CN"/>
              </w:rPr>
              <w:t>198306</w:t>
            </w:r>
          </w:p>
        </w:tc>
        <w:tc>
          <w:tcPr>
            <w:tcW w:w="1521" w:type="dxa"/>
            <w:gridSpan w:val="2"/>
            <w:vAlign w:val="center"/>
          </w:tcPr>
          <w:p>
            <w:pPr>
              <w:jc w:val="center"/>
              <w:rPr>
                <w:rFonts w:hint="default"/>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eastAsiaTheme="minorEastAsia"/>
                <w:vertAlign w:val="baseline"/>
                <w:lang w:val="en-US" w:eastAsia="zh-CN"/>
              </w:rPr>
            </w:pPr>
            <w:r>
              <w:rPr>
                <w:rFonts w:hint="eastAsia"/>
                <w:vertAlign w:val="baseline"/>
                <w:lang w:val="en-US" w:eastAsia="zh-CN"/>
              </w:rPr>
              <w:t>201407</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gridSpan w:val="2"/>
            <w:vAlign w:val="center"/>
          </w:tcPr>
          <w:p>
            <w:pPr>
              <w:jc w:val="center"/>
              <w:rPr>
                <w:rFonts w:hint="default"/>
                <w:vertAlign w:val="baseline"/>
                <w:lang w:val="en-US" w:eastAsia="zh-CN"/>
              </w:rPr>
            </w:pPr>
            <w:r>
              <w:rPr>
                <w:rFonts w:hint="eastAsia"/>
                <w:vertAlign w:val="baseline"/>
                <w:lang w:val="en-US" w:eastAsia="zh-CN"/>
              </w:rPr>
              <w:t xml:space="preserve"> 讲师</w:t>
            </w:r>
          </w:p>
        </w:tc>
        <w:tc>
          <w:tcPr>
            <w:tcW w:w="1000" w:type="dxa"/>
            <w:gridSpan w:val="2"/>
            <w:vAlign w:val="center"/>
          </w:tcPr>
          <w:p>
            <w:pPr>
              <w:jc w:val="center"/>
              <w:rPr>
                <w:rFonts w:hint="eastAsia"/>
                <w:vertAlign w:val="baseline"/>
                <w:lang w:val="en-US" w:eastAsia="zh-CN"/>
              </w:rPr>
            </w:pPr>
            <w:r>
              <w:rPr>
                <w:rFonts w:hint="eastAsia"/>
                <w:vertAlign w:val="baseline"/>
                <w:lang w:val="en-US" w:eastAsia="zh-CN"/>
              </w:rPr>
              <w:t>获得</w:t>
            </w:r>
          </w:p>
          <w:p>
            <w:pPr>
              <w:jc w:val="center"/>
              <w:rPr>
                <w:rFonts w:hint="eastAsia"/>
                <w:vertAlign w:val="baseline"/>
                <w:lang w:eastAsia="zh-CN"/>
              </w:rPr>
            </w:pPr>
            <w:r>
              <w:rPr>
                <w:rFonts w:hint="eastAsia"/>
                <w:vertAlign w:val="baseline"/>
                <w:lang w:eastAsia="zh-CN"/>
              </w:rPr>
              <w:t>时间</w:t>
            </w:r>
          </w:p>
        </w:tc>
        <w:tc>
          <w:tcPr>
            <w:tcW w:w="2490" w:type="dxa"/>
            <w:gridSpan w:val="2"/>
            <w:vAlign w:val="center"/>
          </w:tcPr>
          <w:p>
            <w:pPr>
              <w:jc w:val="center"/>
              <w:rPr>
                <w:rFonts w:hint="default"/>
                <w:vertAlign w:val="baseline"/>
                <w:lang w:val="en-US" w:eastAsia="zh-CN"/>
              </w:rPr>
            </w:pPr>
            <w:r>
              <w:rPr>
                <w:rFonts w:hint="eastAsia"/>
                <w:vertAlign w:val="baseline"/>
                <w:lang w:val="en-US" w:eastAsia="zh-CN"/>
              </w:rPr>
              <w:t>2015年12月31日</w:t>
            </w:r>
          </w:p>
        </w:tc>
        <w:tc>
          <w:tcPr>
            <w:tcW w:w="1410" w:type="dxa"/>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3"/>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土木工程</w:t>
            </w:r>
          </w:p>
        </w:tc>
        <w:tc>
          <w:tcPr>
            <w:tcW w:w="1521" w:type="dxa"/>
            <w:gridSpan w:val="2"/>
            <w:vAlign w:val="center"/>
          </w:tcPr>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vAlign w:val="center"/>
          </w:tcPr>
          <w:p>
            <w:pPr>
              <w:jc w:val="center"/>
              <w:rPr>
                <w:rFonts w:hint="default"/>
                <w:vertAlign w:val="baseline"/>
                <w:lang w:val="en-US" w:eastAsia="zh-CN"/>
              </w:rPr>
            </w:pPr>
            <w:r>
              <w:rPr>
                <w:rFonts w:hint="eastAsia"/>
                <w:vertAlign w:val="baseline"/>
                <w:lang w:val="en-US" w:eastAsia="zh-CN"/>
              </w:rPr>
              <w:t>否</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pPr>
              <w:jc w:val="center"/>
              <w:rPr>
                <w:b/>
                <w:bCs/>
                <w:vertAlign w:val="baseline"/>
              </w:rPr>
            </w:pPr>
          </w:p>
        </w:tc>
        <w:tc>
          <w:tcPr>
            <w:tcW w:w="654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学习经历（从高中填起）</w:t>
            </w:r>
          </w:p>
        </w:tc>
        <w:tc>
          <w:tcPr>
            <w:tcW w:w="669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40" w:type="dxa"/>
            <w:vMerge w:val="continue"/>
            <w:vAlign w:val="center"/>
          </w:tcPr>
          <w:p>
            <w:pPr>
              <w:widowControl w:val="0"/>
              <w:jc w:val="both"/>
            </w:pPr>
          </w:p>
        </w:tc>
        <w:tc>
          <w:tcPr>
            <w:tcW w:w="6540" w:type="dxa"/>
            <w:gridSpan w:val="7"/>
            <w:vAlign w:val="center"/>
          </w:tcPr>
          <w:p>
            <w:pPr>
              <w:spacing w:line="240" w:lineRule="auto"/>
              <w:rPr>
                <w:rFonts w:hint="default" w:ascii="Times New Roman" w:hAnsi="Times New Roman" w:eastAsia="仿宋" w:cs="Times New Roman"/>
                <w:szCs w:val="21"/>
                <w:lang w:val="en-US" w:eastAsia="zh-CN"/>
              </w:rPr>
            </w:pPr>
            <w:r>
              <w:rPr>
                <w:rFonts w:hint="default" w:ascii="Times New Roman" w:hAnsi="Times New Roman" w:eastAsia="仿宋" w:cs="Times New Roman"/>
                <w:szCs w:val="21"/>
                <w:lang w:val="en-US" w:eastAsia="zh-CN"/>
              </w:rPr>
              <w:t>2002年9月-2006年.6月，就读于扬州大学水利水电工程专业，全日制本科毕业，获学士学位；</w:t>
            </w:r>
          </w:p>
          <w:p>
            <w:pPr>
              <w:spacing w:line="240" w:lineRule="auto"/>
              <w:rPr>
                <w:rFonts w:hint="default" w:ascii="Times New Roman" w:hAnsi="Times New Roman" w:eastAsia="仿宋" w:cs="Times New Roman"/>
                <w:szCs w:val="21"/>
                <w:lang w:val="en-US" w:eastAsia="zh-CN"/>
              </w:rPr>
            </w:pPr>
            <w:r>
              <w:rPr>
                <w:rFonts w:hint="default" w:ascii="Times New Roman" w:hAnsi="Times New Roman" w:eastAsia="仿宋" w:cs="Times New Roman"/>
                <w:szCs w:val="21"/>
                <w:lang w:val="en-US" w:eastAsia="zh-CN"/>
              </w:rPr>
              <w:t>2006年9月-2008年.9月，就读于华北水利水电大学结构工程专业，全日制研究生毕业，获</w:t>
            </w:r>
            <w:r>
              <w:rPr>
                <w:rFonts w:hint="default" w:ascii="Times New Roman" w:hAnsi="Times New Roman" w:eastAsia="仿宋" w:cs="Times New Roman"/>
                <w:b w:val="0"/>
                <w:bCs w:val="0"/>
                <w:szCs w:val="21"/>
                <w:lang w:val="en-US" w:eastAsia="zh-CN"/>
              </w:rPr>
              <w:t>硕士学位：</w:t>
            </w:r>
          </w:p>
          <w:p>
            <w:pPr>
              <w:spacing w:line="240" w:lineRule="auto"/>
              <w:rPr>
                <w:rFonts w:hint="default"/>
                <w:vertAlign w:val="baseline"/>
                <w:lang w:val="en-US" w:eastAsia="zh-CN"/>
              </w:rPr>
            </w:pPr>
            <w:r>
              <w:rPr>
                <w:rFonts w:hint="default" w:ascii="Times New Roman" w:hAnsi="Times New Roman" w:eastAsia="仿宋" w:cs="Times New Roman"/>
                <w:szCs w:val="21"/>
                <w:lang w:val="en-US" w:eastAsia="zh-CN"/>
              </w:rPr>
              <w:t>2009</w:t>
            </w:r>
            <w:r>
              <w:rPr>
                <w:rFonts w:hint="eastAsia" w:ascii="Times New Roman" w:hAnsi="Times New Roman" w:eastAsia="仿宋" w:cs="Times New Roman"/>
                <w:szCs w:val="21"/>
                <w:lang w:val="en-US" w:eastAsia="zh-CN"/>
              </w:rPr>
              <w:t>年</w:t>
            </w:r>
            <w:r>
              <w:rPr>
                <w:rFonts w:hint="default" w:ascii="Times New Roman" w:hAnsi="Times New Roman" w:eastAsia="仿宋" w:cs="Times New Roman"/>
                <w:szCs w:val="21"/>
                <w:lang w:val="en-US" w:eastAsia="zh-CN"/>
              </w:rPr>
              <w:t>9</w:t>
            </w:r>
            <w:r>
              <w:rPr>
                <w:rFonts w:hint="eastAsia" w:ascii="Times New Roman" w:hAnsi="Times New Roman" w:eastAsia="仿宋" w:cs="Times New Roman"/>
                <w:szCs w:val="21"/>
                <w:lang w:val="en-US" w:eastAsia="zh-CN"/>
              </w:rPr>
              <w:t>月</w:t>
            </w:r>
            <w:r>
              <w:rPr>
                <w:rFonts w:hint="default" w:ascii="Times New Roman" w:hAnsi="Times New Roman" w:eastAsia="仿宋" w:cs="Times New Roman"/>
                <w:szCs w:val="21"/>
                <w:lang w:val="en-US" w:eastAsia="zh-CN"/>
              </w:rPr>
              <w:t>-2014</w:t>
            </w:r>
            <w:r>
              <w:rPr>
                <w:rFonts w:hint="eastAsia" w:ascii="Times New Roman" w:hAnsi="Times New Roman" w:eastAsia="仿宋" w:cs="Times New Roman"/>
                <w:szCs w:val="21"/>
                <w:lang w:val="en-US" w:eastAsia="zh-CN"/>
              </w:rPr>
              <w:t>年</w:t>
            </w:r>
            <w:r>
              <w:rPr>
                <w:rFonts w:hint="default" w:ascii="Times New Roman" w:hAnsi="Times New Roman" w:eastAsia="仿宋" w:cs="Times New Roman"/>
                <w:szCs w:val="21"/>
                <w:lang w:val="en-US" w:eastAsia="zh-CN"/>
              </w:rPr>
              <w:t>5</w:t>
            </w:r>
            <w:r>
              <w:rPr>
                <w:rFonts w:hint="eastAsia" w:ascii="Times New Roman" w:hAnsi="Times New Roman" w:eastAsia="仿宋" w:cs="Times New Roman"/>
                <w:szCs w:val="21"/>
                <w:lang w:val="en-US" w:eastAsia="zh-CN"/>
              </w:rPr>
              <w:t>月，就读于</w:t>
            </w:r>
            <w:r>
              <w:rPr>
                <w:rFonts w:hint="default" w:ascii="Times New Roman" w:hAnsi="Times New Roman" w:eastAsia="仿宋" w:cs="Times New Roman"/>
                <w:szCs w:val="21"/>
                <w:lang w:val="en-US" w:eastAsia="zh-CN"/>
              </w:rPr>
              <w:t>中南大学，土木工程专业，全日制博士研究生毕业</w:t>
            </w:r>
            <w:r>
              <w:rPr>
                <w:rFonts w:hint="eastAsia" w:ascii="Times New Roman" w:hAnsi="Times New Roman" w:eastAsia="仿宋" w:cs="Times New Roman"/>
                <w:szCs w:val="21"/>
                <w:lang w:val="en-US" w:eastAsia="zh-CN"/>
              </w:rPr>
              <w:t>，</w:t>
            </w:r>
            <w:r>
              <w:rPr>
                <w:rFonts w:hint="default" w:ascii="Times New Roman" w:hAnsi="Times New Roman" w:eastAsia="仿宋" w:cs="Times New Roman"/>
                <w:szCs w:val="21"/>
                <w:lang w:val="en-US" w:eastAsia="zh-CN"/>
              </w:rPr>
              <w:t>获博士学位。</w:t>
            </w:r>
            <w:r>
              <w:rPr>
                <w:rFonts w:hint="default"/>
                <w:szCs w:val="21"/>
                <w:lang w:val="en-US" w:eastAsia="zh-CN"/>
              </w:rPr>
              <w:tab/>
            </w:r>
          </w:p>
        </w:tc>
        <w:tc>
          <w:tcPr>
            <w:tcW w:w="6690" w:type="dxa"/>
            <w:gridSpan w:val="7"/>
            <w:vAlign w:val="center"/>
          </w:tcPr>
          <w:p>
            <w:pPr>
              <w:widowControl w:val="0"/>
              <w:numPr>
                <w:ilvl w:val="0"/>
                <w:numId w:val="0"/>
              </w:numPr>
              <w:spacing w:line="360" w:lineRule="auto"/>
              <w:ind w:firstLine="440" w:firstLineChars="200"/>
              <w:jc w:val="both"/>
              <w:rPr>
                <w:rFonts w:hint="default"/>
                <w:vertAlign w:val="baseline"/>
                <w:lang w:val="en-US" w:eastAsia="zh-CN"/>
              </w:rPr>
            </w:pPr>
            <w:r>
              <w:rPr>
                <w:rFonts w:hint="eastAsia" w:ascii="仿宋" w:hAnsi="仿宋" w:eastAsia="仿宋" w:cs="仿宋"/>
                <w:sz w:val="22"/>
                <w:szCs w:val="22"/>
                <w:lang w:val="en-US" w:eastAsia="zh-CN"/>
              </w:rPr>
              <w:t>2014年7月至今，湖南开放大学应用技术学院，土建专业责任教师及土建教研室主任岗位，从事开放教育土木工程专业教学和科研工作。</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最高学历</w:t>
            </w:r>
          </w:p>
        </w:tc>
        <w:tc>
          <w:tcPr>
            <w:tcW w:w="1635" w:type="dxa"/>
            <w:gridSpan w:val="2"/>
            <w:vAlign w:val="center"/>
          </w:tcPr>
          <w:p>
            <w:pPr>
              <w:widowControl w:val="0"/>
              <w:numPr>
                <w:ilvl w:val="0"/>
                <w:numId w:val="0"/>
              </w:numPr>
              <w:jc w:val="center"/>
              <w:rPr>
                <w:rFonts w:hint="default" w:eastAsiaTheme="minorEastAsia"/>
                <w:lang w:val="en-US" w:eastAsia="zh-CN"/>
              </w:rPr>
            </w:pPr>
            <w:r>
              <w:rPr>
                <w:rFonts w:hint="eastAsia" w:ascii="仿宋" w:hAnsi="仿宋" w:eastAsia="仿宋" w:cs="仿宋"/>
                <w:lang w:val="en-US" w:eastAsia="zh-CN"/>
              </w:rPr>
              <w:t>博士研究生</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最高学位</w:t>
            </w:r>
          </w:p>
        </w:tc>
        <w:tc>
          <w:tcPr>
            <w:tcW w:w="1635" w:type="dxa"/>
            <w:vAlign w:val="center"/>
          </w:tcPr>
          <w:p>
            <w:pPr>
              <w:widowControl w:val="0"/>
              <w:numPr>
                <w:ilvl w:val="0"/>
                <w:numId w:val="0"/>
              </w:numPr>
              <w:jc w:val="center"/>
              <w:rPr>
                <w:rFonts w:hint="default"/>
                <w:vertAlign w:val="baseline"/>
                <w:lang w:val="en-US" w:eastAsia="zh-CN"/>
              </w:rPr>
            </w:pPr>
            <w:r>
              <w:rPr>
                <w:rFonts w:hint="eastAsia" w:ascii="仿宋" w:hAnsi="仿宋" w:eastAsia="仿宋" w:cs="仿宋"/>
                <w:lang w:val="en-US" w:eastAsia="zh-CN"/>
              </w:rPr>
              <w:t>博士</w:t>
            </w: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外语水平</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ascii="仿宋" w:hAnsi="仿宋" w:eastAsia="仿宋" w:cs="仿宋"/>
                <w:lang w:val="en-US" w:eastAsia="zh-CN"/>
              </w:rPr>
              <w:t>免试</w:t>
            </w: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计算机水平</w:t>
            </w:r>
          </w:p>
        </w:tc>
        <w:tc>
          <w:tcPr>
            <w:tcW w:w="1674" w:type="dxa"/>
            <w:gridSpan w:val="2"/>
            <w:vAlign w:val="center"/>
          </w:tcPr>
          <w:p>
            <w:pPr>
              <w:widowControl w:val="0"/>
              <w:jc w:val="center"/>
              <w:rPr>
                <w:rFonts w:hint="default"/>
                <w:vertAlign w:val="baseline"/>
                <w:lang w:val="en-US" w:eastAsia="zh-CN"/>
              </w:rPr>
            </w:pPr>
            <w:r>
              <w:rPr>
                <w:rFonts w:hint="eastAsia" w:ascii="仿宋" w:hAnsi="仿宋" w:eastAsia="仿宋" w:cs="仿宋"/>
                <w:lang w:val="en-US" w:eastAsia="zh-CN"/>
              </w:rPr>
              <w:t>免试</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近五年继续教育情况</w:t>
            </w:r>
          </w:p>
        </w:tc>
        <w:tc>
          <w:tcPr>
            <w:tcW w:w="1635" w:type="dxa"/>
            <w:gridSpan w:val="2"/>
            <w:vAlign w:val="center"/>
          </w:tcPr>
          <w:p>
            <w:pPr>
              <w:widowControl w:val="0"/>
              <w:numPr>
                <w:ilvl w:val="0"/>
                <w:numId w:val="0"/>
              </w:numPr>
              <w:jc w:val="right"/>
              <w:rPr>
                <w:rFonts w:hint="eastAsia" w:eastAsiaTheme="minorEastAsia"/>
                <w:lang w:val="en-US" w:eastAsia="zh-CN"/>
              </w:rPr>
            </w:pPr>
            <w:r>
              <w:rPr>
                <w:rFonts w:hint="eastAsia"/>
                <w:lang w:val="en-US" w:eastAsia="zh-CN"/>
              </w:rPr>
              <w:t>年度</w:t>
            </w:r>
          </w:p>
        </w:tc>
        <w:tc>
          <w:tcPr>
            <w:tcW w:w="1635" w:type="dxa"/>
            <w:gridSpan w:val="2"/>
            <w:vAlign w:val="center"/>
          </w:tcPr>
          <w:p>
            <w:pPr>
              <w:widowControl w:val="0"/>
              <w:numPr>
                <w:ilvl w:val="0"/>
                <w:numId w:val="0"/>
              </w:numPr>
              <w:jc w:val="right"/>
              <w:rPr>
                <w:rFonts w:hint="default"/>
                <w:lang w:val="en-US" w:eastAsia="zh-CN"/>
              </w:rPr>
            </w:pPr>
            <w:r>
              <w:rPr>
                <w:rFonts w:hint="eastAsia"/>
                <w:lang w:val="en-US" w:eastAsia="zh-CN"/>
              </w:rPr>
              <w:t>年度</w:t>
            </w:r>
          </w:p>
        </w:tc>
        <w:tc>
          <w:tcPr>
            <w:tcW w:w="1635" w:type="dxa"/>
            <w:vAlign w:val="center"/>
          </w:tcPr>
          <w:p>
            <w:pPr>
              <w:widowControl w:val="0"/>
              <w:numPr>
                <w:ilvl w:val="0"/>
                <w:numId w:val="0"/>
              </w:numPr>
              <w:jc w:val="right"/>
              <w:rPr>
                <w:rFonts w:hint="default"/>
                <w:vertAlign w:val="baseline"/>
                <w:lang w:val="en-US" w:eastAsia="zh-CN"/>
              </w:rPr>
            </w:pPr>
            <w:r>
              <w:rPr>
                <w:rFonts w:hint="eastAsia"/>
                <w:lang w:val="en-US" w:eastAsia="zh-CN"/>
              </w:rPr>
              <w:t>年度</w:t>
            </w:r>
          </w:p>
        </w:tc>
        <w:tc>
          <w:tcPr>
            <w:tcW w:w="1672" w:type="dxa"/>
            <w:gridSpan w:val="2"/>
            <w:vAlign w:val="center"/>
          </w:tcPr>
          <w:p>
            <w:pPr>
              <w:widowControl w:val="0"/>
              <w:numPr>
                <w:ilvl w:val="0"/>
                <w:numId w:val="0"/>
              </w:numPr>
              <w:ind w:left="0" w:leftChars="0" w:firstLine="0" w:firstLineChars="0"/>
              <w:jc w:val="center"/>
              <w:rPr>
                <w:rFonts w:hint="eastAsia"/>
                <w:lang w:val="en-US" w:eastAsia="zh-CN"/>
              </w:rPr>
            </w:pPr>
            <w:r>
              <w:rPr>
                <w:rFonts w:hint="eastAsia"/>
                <w:lang w:val="en-US" w:eastAsia="zh-CN"/>
              </w:rPr>
              <w:t>2021年度</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2022年度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继续教育合格证书编号</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rPr>
                <w:rFonts w:hint="eastAsia" w:eastAsiaTheme="minorEastAsia"/>
                <w:lang w:val="en-US" w:eastAsia="zh-CN"/>
              </w:rPr>
            </w:pPr>
            <w:r>
              <w:rPr>
                <w:rFonts w:hint="eastAsia"/>
                <w:lang w:val="en-US" w:eastAsia="zh-CN"/>
              </w:rPr>
              <w:t>/</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w:t>
            </w:r>
          </w:p>
        </w:tc>
        <w:tc>
          <w:tcPr>
            <w:tcW w:w="1635"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w:t>
            </w:r>
          </w:p>
        </w:tc>
        <w:tc>
          <w:tcPr>
            <w:tcW w:w="1672" w:type="dxa"/>
            <w:gridSpan w:val="2"/>
            <w:vAlign w:val="center"/>
          </w:tcPr>
          <w:p>
            <w:pPr>
              <w:widowControl w:val="0"/>
              <w:numPr>
                <w:ilvl w:val="0"/>
                <w:numId w:val="0"/>
              </w:numPr>
              <w:ind w:left="0" w:leftChars="0" w:firstLine="0" w:firstLineChars="0"/>
              <w:jc w:val="center"/>
              <w:rPr>
                <w:rFonts w:hint="eastAsia" w:ascii="仿宋" w:hAnsi="仿宋" w:eastAsia="仿宋" w:cs="仿宋"/>
                <w:lang w:val="en-US" w:eastAsia="zh-CN"/>
              </w:rPr>
            </w:pPr>
            <w:r>
              <w:rPr>
                <w:rFonts w:hint="eastAsia" w:ascii="仿宋" w:hAnsi="仿宋" w:eastAsia="仿宋" w:cs="仿宋"/>
                <w:lang w:val="en-US" w:eastAsia="zh-CN"/>
              </w:rPr>
              <w:t>90学时</w:t>
            </w:r>
          </w:p>
        </w:tc>
        <w:tc>
          <w:tcPr>
            <w:tcW w:w="1672" w:type="dxa"/>
            <w:vAlign w:val="center"/>
          </w:tcPr>
          <w:p>
            <w:pPr>
              <w:widowControl w:val="0"/>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148学时</w:t>
            </w:r>
          </w:p>
        </w:tc>
        <w:tc>
          <w:tcPr>
            <w:tcW w:w="3346" w:type="dxa"/>
            <w:gridSpan w:val="4"/>
            <w:vAlign w:val="center"/>
          </w:tcPr>
          <w:p>
            <w:pPr>
              <w:widowControl w:val="0"/>
              <w:jc w:val="center"/>
              <w:rPr>
                <w:rFonts w:hint="default" w:ascii="仿宋" w:hAnsi="仿宋" w:eastAsia="仿宋" w:cs="仿宋"/>
                <w:vertAlign w:val="baseline"/>
                <w:lang w:val="en-US" w:eastAsia="zh-CN"/>
              </w:rPr>
            </w:pPr>
            <w:r>
              <w:rPr>
                <w:rFonts w:hint="default" w:ascii="Times New Roman" w:hAnsi="Times New Roman" w:eastAsia="仿宋" w:cs="Times New Roman"/>
                <w:vertAlign w:val="baseline"/>
                <w:lang w:val="en-US" w:eastAsia="zh-CN"/>
              </w:rPr>
              <w:t>（2023）0062376</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近五年年度考核</w:t>
            </w:r>
          </w:p>
        </w:tc>
        <w:tc>
          <w:tcPr>
            <w:tcW w:w="1635" w:type="dxa"/>
            <w:gridSpan w:val="2"/>
            <w:vAlign w:val="center"/>
          </w:tcPr>
          <w:p>
            <w:pPr>
              <w:widowControl w:val="0"/>
              <w:numPr>
                <w:ilvl w:val="0"/>
                <w:numId w:val="0"/>
              </w:numPr>
              <w:ind w:left="0" w:leftChars="0" w:firstLine="0" w:firstLineChars="0"/>
              <w:jc w:val="center"/>
              <w:rPr>
                <w:rFonts w:hint="eastAsia" w:asciiTheme="minorHAnsi" w:hAnsiTheme="minorHAnsi" w:eastAsiaTheme="minorEastAsia" w:cstheme="minorBidi"/>
                <w:kern w:val="2"/>
                <w:sz w:val="21"/>
                <w:szCs w:val="24"/>
                <w:lang w:val="en-US" w:eastAsia="zh-CN" w:bidi="ar-SA"/>
              </w:rPr>
            </w:pPr>
            <w:r>
              <w:rPr>
                <w:rFonts w:hint="eastAsia"/>
                <w:lang w:val="en-US" w:eastAsia="zh-CN"/>
              </w:rPr>
              <w:t>2018年度</w:t>
            </w:r>
          </w:p>
        </w:tc>
        <w:tc>
          <w:tcPr>
            <w:tcW w:w="1635" w:type="dxa"/>
            <w:gridSpan w:val="2"/>
            <w:vAlign w:val="center"/>
          </w:tcPr>
          <w:p>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lang w:val="en-US" w:eastAsia="zh-CN" w:bidi="ar-SA"/>
              </w:rPr>
            </w:pPr>
            <w:r>
              <w:rPr>
                <w:rFonts w:hint="eastAsia"/>
                <w:lang w:val="en-US" w:eastAsia="zh-CN"/>
              </w:rPr>
              <w:t>2019年度</w:t>
            </w:r>
          </w:p>
        </w:tc>
        <w:tc>
          <w:tcPr>
            <w:tcW w:w="1635" w:type="dxa"/>
            <w:vAlign w:val="center"/>
          </w:tcPr>
          <w:p>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2020年度</w:t>
            </w:r>
          </w:p>
        </w:tc>
        <w:tc>
          <w:tcPr>
            <w:tcW w:w="1672" w:type="dxa"/>
            <w:gridSpan w:val="2"/>
            <w:vAlign w:val="center"/>
          </w:tcPr>
          <w:p>
            <w:pPr>
              <w:widowControl w:val="0"/>
              <w:numPr>
                <w:ilvl w:val="0"/>
                <w:numId w:val="0"/>
              </w:numPr>
              <w:ind w:left="0" w:leftChars="0" w:firstLine="0" w:firstLineChars="0"/>
              <w:jc w:val="center"/>
              <w:rPr>
                <w:rFonts w:hint="eastAsia" w:asciiTheme="minorHAnsi" w:hAnsiTheme="minorHAnsi" w:eastAsiaTheme="minorEastAsia" w:cstheme="minorBidi"/>
                <w:kern w:val="2"/>
                <w:sz w:val="21"/>
                <w:szCs w:val="24"/>
                <w:lang w:val="en-US" w:eastAsia="zh-CN" w:bidi="ar-SA"/>
              </w:rPr>
            </w:pPr>
            <w:r>
              <w:rPr>
                <w:rFonts w:hint="eastAsia"/>
                <w:lang w:val="en-US" w:eastAsia="zh-CN"/>
              </w:rPr>
              <w:t>2021年度</w:t>
            </w:r>
          </w:p>
        </w:tc>
        <w:tc>
          <w:tcPr>
            <w:tcW w:w="1672" w:type="dxa"/>
            <w:vAlign w:val="center"/>
          </w:tcPr>
          <w:p>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2022年度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其他年度考核优秀等次情况</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rPr>
                <w:rFonts w:hint="eastAsia" w:ascii="仿宋" w:hAnsi="仿宋" w:eastAsia="仿宋" w:cs="仿宋"/>
              </w:rPr>
            </w:pPr>
            <w:r>
              <w:rPr>
                <w:rFonts w:hint="eastAsia" w:ascii="仿宋" w:hAnsi="仿宋" w:eastAsia="仿宋" w:cs="仿宋"/>
                <w:lang w:val="en-US" w:eastAsia="zh-CN"/>
              </w:rPr>
              <w:t>称职</w:t>
            </w:r>
          </w:p>
        </w:tc>
        <w:tc>
          <w:tcPr>
            <w:tcW w:w="1635" w:type="dxa"/>
            <w:gridSpan w:val="2"/>
            <w:vAlign w:val="center"/>
          </w:tcPr>
          <w:p>
            <w:pPr>
              <w:widowControl w:val="0"/>
              <w:numPr>
                <w:ilvl w:val="0"/>
                <w:numId w:val="0"/>
              </w:numPr>
              <w:jc w:val="center"/>
              <w:rPr>
                <w:rFonts w:hint="eastAsia" w:ascii="仿宋" w:hAnsi="仿宋" w:eastAsia="仿宋" w:cs="仿宋"/>
                <w:lang w:val="en-US" w:eastAsia="zh-CN"/>
              </w:rPr>
            </w:pPr>
            <w:r>
              <w:rPr>
                <w:rFonts w:hint="eastAsia" w:ascii="仿宋" w:hAnsi="仿宋" w:eastAsia="仿宋" w:cs="仿宋"/>
                <w:lang w:val="en-US" w:eastAsia="zh-CN"/>
              </w:rPr>
              <w:t>称职</w:t>
            </w:r>
          </w:p>
        </w:tc>
        <w:tc>
          <w:tcPr>
            <w:tcW w:w="1635" w:type="dxa"/>
            <w:vAlign w:val="center"/>
          </w:tcPr>
          <w:p>
            <w:pPr>
              <w:widowControl w:val="0"/>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lang w:val="en-US" w:eastAsia="zh-CN"/>
              </w:rPr>
              <w:t>称职</w:t>
            </w:r>
          </w:p>
        </w:tc>
        <w:tc>
          <w:tcPr>
            <w:tcW w:w="1672" w:type="dxa"/>
            <w:gridSpan w:val="2"/>
            <w:vAlign w:val="center"/>
          </w:tcPr>
          <w:p>
            <w:pPr>
              <w:widowControl w:val="0"/>
              <w:numPr>
                <w:ilvl w:val="0"/>
                <w:numId w:val="0"/>
              </w:numPr>
              <w:ind w:left="0" w:leftChars="0" w:firstLine="0" w:firstLineChars="0"/>
              <w:jc w:val="center"/>
              <w:rPr>
                <w:rFonts w:hint="eastAsia" w:ascii="仿宋" w:hAnsi="仿宋" w:eastAsia="仿宋" w:cs="仿宋"/>
                <w:lang w:val="en-US" w:eastAsia="zh-CN"/>
              </w:rPr>
            </w:pPr>
            <w:r>
              <w:rPr>
                <w:rFonts w:hint="eastAsia" w:ascii="仿宋" w:hAnsi="仿宋" w:eastAsia="仿宋" w:cs="仿宋"/>
                <w:lang w:val="en-US" w:eastAsia="zh-CN"/>
              </w:rPr>
              <w:t>称职</w:t>
            </w:r>
          </w:p>
        </w:tc>
        <w:tc>
          <w:tcPr>
            <w:tcW w:w="1672" w:type="dxa"/>
            <w:vAlign w:val="center"/>
          </w:tcPr>
          <w:p>
            <w:pPr>
              <w:widowControl w:val="0"/>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优秀</w:t>
            </w:r>
          </w:p>
        </w:tc>
        <w:tc>
          <w:tcPr>
            <w:tcW w:w="3346" w:type="dxa"/>
            <w:gridSpan w:val="4"/>
            <w:vAlign w:val="center"/>
          </w:tcPr>
          <w:p>
            <w:pPr>
              <w:widowControl w:val="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2016年、2017年、2022年优秀</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trPr>
        <w:tc>
          <w:tcPr>
            <w:tcW w:w="2175" w:type="dxa"/>
            <w:gridSpan w:val="3"/>
            <w:vAlign w:val="center"/>
          </w:tcPr>
          <w:p>
            <w:pPr>
              <w:widowControl w:val="0"/>
              <w:numPr>
                <w:ilvl w:val="0"/>
                <w:numId w:val="0"/>
              </w:numPr>
              <w:jc w:val="center"/>
              <w:rPr>
                <w:rFonts w:hint="eastAsia"/>
                <w:b/>
                <w:bCs/>
                <w:lang w:val="en-US" w:eastAsia="zh-CN"/>
              </w:rPr>
            </w:pPr>
            <w:r>
              <w:rPr>
                <w:rFonts w:hint="eastAsia"/>
                <w:b/>
                <w:bCs/>
                <w:lang w:val="en-US" w:eastAsia="zh-CN"/>
              </w:rPr>
              <w:t>学生思想政治教育</w:t>
            </w:r>
          </w:p>
          <w:p>
            <w:pPr>
              <w:widowControl w:val="0"/>
              <w:numPr>
                <w:ilvl w:val="0"/>
                <w:numId w:val="0"/>
              </w:numPr>
              <w:jc w:val="center"/>
              <w:rPr>
                <w:rFonts w:hint="default"/>
                <w:lang w:val="en-US" w:eastAsia="zh-CN"/>
              </w:rPr>
            </w:pPr>
            <w:r>
              <w:rPr>
                <w:rFonts w:hint="eastAsia"/>
                <w:b/>
                <w:bCs/>
                <w:lang w:val="en-US" w:eastAsia="zh-CN"/>
              </w:rPr>
              <w:t>工作业绩</w:t>
            </w:r>
          </w:p>
        </w:tc>
        <w:tc>
          <w:tcPr>
            <w:tcW w:w="11595" w:type="dxa"/>
            <w:gridSpan w:val="12"/>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default"/>
                <w:vertAlign w:val="baseline"/>
                <w:lang w:val="en-US" w:eastAsia="zh-CN"/>
              </w:rPr>
            </w:pPr>
            <w:r>
              <w:rPr>
                <w:rFonts w:hint="default" w:ascii="仿宋" w:hAnsi="仿宋" w:eastAsia="仿宋" w:cs="仿宋"/>
                <w:lang w:val="en-US" w:eastAsia="zh-CN"/>
              </w:rPr>
              <w:t>2016年担任湖南电大直属学院16春土木本科班的兼职辅导员期间，坚持在教育教学中落实立德树人的根本任务，努力引导学生树立正确的世界观、人生观、价值观和良好的思想品德，把思想政治工作贯穿教育教学全过程。</w:t>
            </w:r>
            <w:r>
              <w:rPr>
                <w:rFonts w:hint="eastAsia" w:ascii="仿宋" w:hAnsi="仿宋" w:eastAsia="仿宋" w:cs="仿宋"/>
                <w:lang w:val="en-US" w:eastAsia="zh-CN"/>
              </w:rPr>
              <w:t>每学期为直属学院和湘潭分校土木工程专业本科的学生提供毕业论文指导服务工作。为直属学院提供多门重点、难点课程的面授课导学教学服务，为学员答疑解难。给学员释疑解难、敦学促学的同时引领学员前瞻行业趋势、分享前沿技术。多次到岳阳、湘潭分校等分校送教，开展教学和教学实践活动。2016年、2017年、2022年度考核优秀。</w:t>
            </w:r>
          </w:p>
        </w:tc>
        <w:tc>
          <w:tcPr>
            <w:tcW w:w="818" w:type="dxa"/>
            <w:vAlign w:val="center"/>
          </w:tcPr>
          <w:p>
            <w:pPr>
              <w:widowControl w:val="0"/>
              <w:jc w:val="center"/>
              <w:rPr>
                <w:rFonts w:hint="default"/>
                <w:vertAlign w:val="baseline"/>
                <w:lang w:val="en-US" w:eastAsia="zh-CN"/>
              </w:rPr>
            </w:pPr>
            <w:r>
              <w:rPr>
                <w:rFonts w:hint="eastAsia"/>
                <w:vertAlign w:val="baseline"/>
                <w:lang w:val="en-US" w:eastAsia="zh-CN"/>
              </w:rPr>
              <w:t>部门审核签字盖章</w:t>
            </w:r>
          </w:p>
        </w:tc>
      </w:tr>
    </w:tbl>
    <w:p>
      <w:r>
        <w:br w:type="page"/>
      </w:r>
    </w:p>
    <w:tbl>
      <w:tblPr>
        <w:tblStyle w:val="5"/>
        <w:tblW w:w="142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6052"/>
        <w:gridCol w:w="1500"/>
        <w:gridCol w:w="1600"/>
        <w:gridCol w:w="1789"/>
        <w:gridCol w:w="1161"/>
        <w:gridCol w:w="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462" w:type="dxa"/>
            <w:gridSpan w:val="7"/>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784" w:type="dxa"/>
          </w:tcPr>
          <w:p>
            <w:pPr>
              <w:jc w:val="center"/>
              <w:rPr>
                <w:rFonts w:hint="eastAsia"/>
                <w:b/>
                <w:bCs/>
                <w:vertAlign w:val="baseline"/>
                <w:lang w:eastAsia="zh-CN"/>
              </w:rPr>
            </w:pPr>
            <w:r>
              <w:rPr>
                <w:rFonts w:hint="eastAsia"/>
                <w:b/>
                <w:bCs/>
                <w:vertAlign w:val="baseline"/>
                <w:lang w:eastAsia="zh-CN"/>
              </w:rPr>
              <w:t>审核</w:t>
            </w:r>
          </w:p>
          <w:p>
            <w:pPr>
              <w:jc w:val="center"/>
              <w:rPr>
                <w:rFonts w:hint="eastAsia" w:eastAsiaTheme="minorEastAsia"/>
                <w:vertAlign w:val="baseline"/>
                <w:lang w:eastAsia="zh-CN"/>
              </w:rPr>
            </w:pPr>
            <w:r>
              <w:rPr>
                <w:rFonts w:hint="eastAsia"/>
                <w:b/>
                <w:bCs/>
                <w:vertAlign w:val="baseline"/>
                <w:lang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2937" w:type="dxa"/>
            <w:gridSpan w:val="6"/>
            <w:vAlign w:val="center"/>
          </w:tcPr>
          <w:p>
            <w:pPr>
              <w:numPr>
                <w:ilvl w:val="0"/>
                <w:numId w:val="1"/>
              </w:numPr>
              <w:spacing w:line="360" w:lineRule="auto"/>
              <w:ind w:left="425" w:leftChars="0" w:hanging="425"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val="en-US" w:eastAsia="zh-CN"/>
              </w:rPr>
              <w:t>《红网》湖南频道·科教文卫“湘西山区走出的高校女教师，结对帮扶家乡女教师成果脱贫” 2019年。</w:t>
            </w:r>
          </w:p>
          <w:p>
            <w:pPr>
              <w:numPr>
                <w:ilvl w:val="0"/>
                <w:numId w:val="1"/>
              </w:numPr>
              <w:spacing w:line="360" w:lineRule="auto"/>
              <w:ind w:left="425" w:leftChars="0" w:hanging="425" w:firstLineChars="0"/>
              <w:jc w:val="both"/>
              <w:rPr>
                <w:rFonts w:hint="default"/>
                <w:sz w:val="21"/>
                <w:szCs w:val="21"/>
                <w:lang w:val="en-US" w:eastAsia="zh-CN"/>
              </w:rPr>
            </w:pPr>
            <w:r>
              <w:rPr>
                <w:rFonts w:hint="eastAsia" w:ascii="仿宋" w:hAnsi="仿宋" w:eastAsia="仿宋" w:cs="仿宋"/>
                <w:sz w:val="21"/>
                <w:szCs w:val="21"/>
                <w:lang w:val="en-US" w:eastAsia="zh-CN"/>
              </w:rPr>
              <w:t>2020年参与国家开放大学组织的“春风志愿者行动”，作为志愿者为新疆兵团分部开放教育土木工程专业的学生提供了网上教学辅导和支持服务。</w:t>
            </w:r>
          </w:p>
          <w:p>
            <w:pPr>
              <w:numPr>
                <w:ilvl w:val="0"/>
                <w:numId w:val="0"/>
              </w:numPr>
              <w:jc w:val="both"/>
              <w:rPr>
                <w:rFonts w:hint="default"/>
                <w:sz w:val="21"/>
                <w:szCs w:val="21"/>
                <w:lang w:val="en-US" w:eastAsia="zh-CN"/>
              </w:rPr>
            </w:pPr>
          </w:p>
        </w:tc>
        <w:tc>
          <w:tcPr>
            <w:tcW w:w="784"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both"/>
              <w:rPr>
                <w:rFonts w:hint="eastAsia"/>
                <w:vertAlign w:val="baseline"/>
                <w:lang w:eastAsia="zh-CN"/>
              </w:rPr>
            </w:pPr>
          </w:p>
          <w:p>
            <w:pPr>
              <w:jc w:val="center"/>
              <w:rPr>
                <w:rFonts w:hint="eastAsia"/>
                <w:vertAlign w:val="baseline"/>
                <w:lang w:eastAsia="zh-CN"/>
              </w:rPr>
            </w:pPr>
          </w:p>
          <w:p>
            <w:pPr>
              <w:jc w:val="cente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pPr>
              <w:numPr>
                <w:ilvl w:val="0"/>
                <w:numId w:val="0"/>
              </w:numPr>
              <w:jc w:val="both"/>
              <w:rPr>
                <w:rFonts w:hint="default"/>
                <w:b/>
                <w:bCs/>
                <w:vertAlign w:val="baseline"/>
                <w:lang w:val="en-US" w:eastAsia="zh-CN"/>
              </w:rPr>
            </w:pPr>
            <w:r>
              <w:rPr>
                <w:rFonts w:hint="eastAsia"/>
                <w:b/>
                <w:bCs/>
                <w:vertAlign w:val="baseline"/>
                <w:lang w:val="en-US" w:eastAsia="zh-CN"/>
              </w:rPr>
              <w:t>教教育教学</w:t>
            </w:r>
          </w:p>
        </w:tc>
        <w:tc>
          <w:tcPr>
            <w:tcW w:w="6887" w:type="dxa"/>
            <w:gridSpan w:val="2"/>
            <w:vAlign w:val="center"/>
          </w:tcPr>
          <w:p>
            <w:pPr>
              <w:ind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6050" w:type="dxa"/>
            <w:gridSpan w:val="4"/>
            <w:vAlign w:val="center"/>
          </w:tcPr>
          <w:p>
            <w:pPr>
              <w:ind w:firstLine="420" w:firstLineChars="200"/>
              <w:jc w:val="center"/>
              <w:rPr>
                <w:rFonts w:hint="default"/>
                <w:vertAlign w:val="baseline"/>
                <w:lang w:val="en-US" w:eastAsia="zh-CN"/>
              </w:rPr>
            </w:pPr>
            <w:r>
              <w:rPr>
                <w:rFonts w:hint="eastAsia"/>
                <w:lang w:val="en-US" w:eastAsia="zh-CN"/>
              </w:rPr>
              <w:t>教学工作量（学时）</w:t>
            </w:r>
          </w:p>
        </w:tc>
        <w:tc>
          <w:tcPr>
            <w:tcW w:w="784" w:type="dxa"/>
            <w:vMerge w:val="restart"/>
          </w:tcPr>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pPr>
              <w:ind w:firstLine="420" w:firstLineChars="200"/>
              <w:jc w:val="center"/>
            </w:pPr>
          </w:p>
        </w:tc>
        <w:tc>
          <w:tcPr>
            <w:tcW w:w="6887" w:type="dxa"/>
            <w:gridSpan w:val="2"/>
            <w:vMerge w:val="restart"/>
            <w:vAlign w:val="center"/>
          </w:tcPr>
          <w:p>
            <w:pPr>
              <w:keepNext w:val="0"/>
              <w:keepLines w:val="0"/>
              <w:pageBreakBefore w:val="0"/>
              <w:widowControl w:val="0"/>
              <w:numPr>
                <w:ilvl w:val="0"/>
                <w:numId w:val="2"/>
              </w:numPr>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rightChars="0" w:firstLine="420"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以直播课和面授课的形式系统讲授过道路建筑材料、桥涵施工技术、建筑材料、建筑施工组织与进度管理、单位工程施工组织设计、高速公路、信息技术等课程。建设了建筑施工组织与管理、高速公路、交通工程、水工钢筋混凝土结构基础、灌溉排水新技术、高速公路建设与管理等课程的网络学习资源。授课对象涵盖开放教育学生、高职学生和村社区人才项目学生。</w:t>
            </w:r>
          </w:p>
          <w:p>
            <w:pPr>
              <w:keepNext w:val="0"/>
              <w:keepLines w:val="0"/>
              <w:pageBreakBefore w:val="0"/>
              <w:widowControl w:val="0"/>
              <w:numPr>
                <w:ilvl w:val="0"/>
                <w:numId w:val="2"/>
              </w:numPr>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rightChars="0" w:firstLine="420" w:firstLineChars="200"/>
              <w:textAlignment w:val="auto"/>
              <w:rPr>
                <w:rFonts w:hint="eastAsia" w:ascii="仿宋" w:hAnsi="仿宋" w:eastAsia="仿宋" w:cs="仿宋"/>
                <w:color w:val="auto"/>
                <w:sz w:val="21"/>
                <w:szCs w:val="21"/>
                <w:lang w:val="en-US" w:eastAsia="zh-CN"/>
              </w:rPr>
            </w:pPr>
            <w:r>
              <w:rPr>
                <w:rFonts w:hint="default" w:ascii="仿宋" w:hAnsi="仿宋" w:eastAsia="仿宋" w:cs="仿宋"/>
                <w:color w:val="auto"/>
                <w:sz w:val="21"/>
                <w:szCs w:val="21"/>
                <w:lang w:val="en-US" w:eastAsia="zh-CN"/>
              </w:rPr>
              <w:t>2016年担任湖南电大直属学院16春土木本科班的兼职辅导员期间，坚持在教育教学中落实立德树人的根本任务，努力引导学生树立正确的世界观、人生观、价值观和良好的思想品德，把思想政治工作贯穿教育教学全过程。</w:t>
            </w:r>
            <w:r>
              <w:rPr>
                <w:rFonts w:hint="eastAsia" w:ascii="仿宋" w:hAnsi="仿宋" w:eastAsia="仿宋" w:cs="仿宋"/>
                <w:color w:val="auto"/>
                <w:sz w:val="21"/>
                <w:szCs w:val="21"/>
                <w:lang w:val="en-US" w:eastAsia="zh-CN"/>
              </w:rPr>
              <w:t>指导肖园园、唐如薇、秦昱、王欢等青年教师如何高质量、高效率完成教育教学工作，并指导他们申报各种课题、发表学术论文。</w:t>
            </w:r>
          </w:p>
          <w:p>
            <w:pPr>
              <w:keepNext w:val="0"/>
              <w:keepLines w:val="0"/>
              <w:pageBreakBefore w:val="0"/>
              <w:widowControl w:val="0"/>
              <w:numPr>
                <w:ilvl w:val="0"/>
                <w:numId w:val="2"/>
              </w:numPr>
              <w:suppressLineNumbers w:val="0"/>
              <w:kinsoku/>
              <w:wordWrap/>
              <w:overflowPunct/>
              <w:topLinePunct w:val="0"/>
              <w:autoSpaceDE/>
              <w:autoSpaceDN/>
              <w:bidi w:val="0"/>
              <w:adjustRightInd w:val="0"/>
              <w:snapToGrid w:val="0"/>
              <w:spacing w:before="0" w:beforeAutospacing="0" w:after="0" w:afterAutospacing="0" w:line="320" w:lineRule="exact"/>
              <w:ind w:left="0" w:leftChars="0" w:right="0" w:rightChars="0" w:firstLine="420" w:firstLineChars="200"/>
              <w:textAlignment w:val="auto"/>
              <w:rPr>
                <w:rFonts w:hint="default"/>
                <w:vertAlign w:val="baseline"/>
                <w:lang w:val="en-US" w:eastAsia="zh-CN"/>
              </w:rPr>
            </w:pPr>
            <w:r>
              <w:rPr>
                <w:rFonts w:hint="default" w:ascii="仿宋" w:hAnsi="仿宋" w:eastAsia="仿宋" w:cs="仿宋"/>
                <w:color w:val="auto"/>
                <w:sz w:val="21"/>
                <w:szCs w:val="21"/>
                <w:lang w:val="en-US" w:eastAsia="zh-CN"/>
              </w:rPr>
              <w:t>2016年10月赴岳阳分校开展土木工程专业实践和注册建造师资格考试的讲座。2018年4月、2019年3月两次赴湘潭分校开展专业实践和论文指导讲座。</w:t>
            </w:r>
          </w:p>
        </w:tc>
        <w:tc>
          <w:tcPr>
            <w:tcW w:w="1500" w:type="dxa"/>
            <w:vAlign w:val="center"/>
          </w:tcPr>
          <w:p>
            <w:pPr>
              <w:jc w:val="center"/>
              <w:rPr>
                <w:rFonts w:hint="default"/>
                <w:vertAlign w:val="baseline"/>
                <w:lang w:val="en-US" w:eastAsia="zh-CN"/>
              </w:rPr>
            </w:pPr>
            <w:r>
              <w:rPr>
                <w:rFonts w:hint="eastAsia"/>
                <w:vertAlign w:val="baseline"/>
                <w:lang w:val="en-US" w:eastAsia="zh-CN"/>
              </w:rPr>
              <w:t>年度</w:t>
            </w:r>
          </w:p>
        </w:tc>
        <w:tc>
          <w:tcPr>
            <w:tcW w:w="1600" w:type="dxa"/>
            <w:vAlign w:val="center"/>
          </w:tcPr>
          <w:p>
            <w:pPr>
              <w:jc w:val="center"/>
              <w:rPr>
                <w:rFonts w:hint="eastAsia"/>
                <w:b/>
                <w:bCs/>
                <w:vertAlign w:val="baseline"/>
                <w:lang w:val="en-US" w:eastAsia="zh-CN"/>
              </w:rPr>
            </w:pPr>
            <w:r>
              <w:rPr>
                <w:rFonts w:hint="eastAsia"/>
                <w:b/>
                <w:bCs/>
                <w:vertAlign w:val="baseline"/>
                <w:lang w:val="en-US" w:eastAsia="zh-CN"/>
              </w:rPr>
              <w:t>课堂教学</w:t>
            </w:r>
          </w:p>
          <w:p>
            <w:pPr>
              <w:jc w:val="center"/>
              <w:rPr>
                <w:rFonts w:hint="default"/>
                <w:vertAlign w:val="baseline"/>
                <w:lang w:val="en-US" w:eastAsia="zh-CN"/>
              </w:rPr>
            </w:pPr>
            <w:r>
              <w:rPr>
                <w:rFonts w:hint="eastAsia"/>
                <w:sz w:val="18"/>
                <w:szCs w:val="21"/>
                <w:vertAlign w:val="baseline"/>
                <w:lang w:val="en-US" w:eastAsia="zh-CN"/>
              </w:rPr>
              <w:t>含面授、直播等</w:t>
            </w:r>
          </w:p>
        </w:tc>
        <w:tc>
          <w:tcPr>
            <w:tcW w:w="178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b/>
                <w:bCs/>
                <w:vertAlign w:val="baseline"/>
                <w:lang w:val="en-US" w:eastAsia="zh-CN"/>
              </w:rPr>
            </w:pPr>
            <w:r>
              <w:rPr>
                <w:rFonts w:hint="eastAsia"/>
                <w:b/>
                <w:bCs/>
                <w:vertAlign w:val="baseline"/>
                <w:lang w:val="en-US" w:eastAsia="zh-CN"/>
              </w:rPr>
              <w:t>实践教学</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vertAlign w:val="baseline"/>
                <w:lang w:val="en-US" w:eastAsia="zh-CN"/>
              </w:rPr>
            </w:pPr>
            <w:r>
              <w:rPr>
                <w:rFonts w:hint="eastAsia"/>
                <w:sz w:val="18"/>
                <w:szCs w:val="21"/>
                <w:vertAlign w:val="baseline"/>
                <w:lang w:val="en-US" w:eastAsia="zh-CN"/>
              </w:rPr>
              <w:t>含毕业设计（论文）、岗位实习指导等</w:t>
            </w:r>
          </w:p>
        </w:tc>
        <w:tc>
          <w:tcPr>
            <w:tcW w:w="1161" w:type="dxa"/>
            <w:vAlign w:val="center"/>
          </w:tcPr>
          <w:p>
            <w:pPr>
              <w:jc w:val="center"/>
              <w:rPr>
                <w:rFonts w:hint="eastAsia" w:eastAsiaTheme="minorEastAsia"/>
                <w:vertAlign w:val="baseline"/>
                <w:lang w:val="en-US" w:eastAsia="zh-CN"/>
              </w:rPr>
            </w:pPr>
            <w:r>
              <w:rPr>
                <w:rFonts w:hint="eastAsia"/>
                <w:vertAlign w:val="baseline"/>
                <w:lang w:val="en-US" w:eastAsia="zh-CN"/>
              </w:rPr>
              <w:t>总计</w:t>
            </w:r>
          </w:p>
        </w:tc>
        <w:tc>
          <w:tcPr>
            <w:tcW w:w="784" w:type="dxa"/>
            <w:vMerge w:val="continue"/>
          </w:tcPr>
          <w:p>
            <w:pPr>
              <w:ind w:firstLine="420" w:firstLineChars="200"/>
              <w:jc w:val="cente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25" w:type="dxa"/>
            <w:vMerge w:val="continue"/>
            <w:vAlign w:val="center"/>
          </w:tcPr>
          <w:p>
            <w:pPr>
              <w:ind w:firstLine="420" w:firstLineChars="200"/>
              <w:jc w:val="center"/>
            </w:pPr>
          </w:p>
        </w:tc>
        <w:tc>
          <w:tcPr>
            <w:tcW w:w="6887" w:type="dxa"/>
            <w:gridSpan w:val="2"/>
            <w:vMerge w:val="continue"/>
            <w:vAlign w:val="center"/>
          </w:tcPr>
          <w:p>
            <w:pPr>
              <w:ind w:firstLine="420" w:firstLineChars="200"/>
              <w:jc w:val="center"/>
            </w:pPr>
          </w:p>
        </w:tc>
        <w:tc>
          <w:tcPr>
            <w:tcW w:w="1500" w:type="dxa"/>
            <w:vAlign w:val="center"/>
          </w:tcPr>
          <w:p>
            <w:pPr>
              <w:spacing w:line="280" w:lineRule="exact"/>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2016年</w:t>
            </w:r>
          </w:p>
        </w:tc>
        <w:tc>
          <w:tcPr>
            <w:tcW w:w="1600"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4"/>
                <w:szCs w:val="24"/>
                <w:u w:val="none"/>
                <w:lang w:val="en-US" w:eastAsia="zh-CN" w:bidi="ar"/>
              </w:rPr>
              <w:t>335</w:t>
            </w:r>
          </w:p>
        </w:tc>
        <w:tc>
          <w:tcPr>
            <w:tcW w:w="1789"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4"/>
                <w:szCs w:val="24"/>
                <w:u w:val="none"/>
                <w:lang w:val="en-US" w:eastAsia="zh-CN" w:bidi="ar"/>
              </w:rPr>
              <w:t>230.2</w:t>
            </w:r>
          </w:p>
        </w:tc>
        <w:tc>
          <w:tcPr>
            <w:tcW w:w="1161"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565.2</w:t>
            </w:r>
          </w:p>
        </w:tc>
        <w:tc>
          <w:tcPr>
            <w:tcW w:w="784"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525" w:type="dxa"/>
            <w:vMerge w:val="continue"/>
            <w:vAlign w:val="center"/>
          </w:tcPr>
          <w:p>
            <w:pPr>
              <w:ind w:firstLine="420" w:firstLineChars="200"/>
              <w:jc w:val="center"/>
            </w:pPr>
          </w:p>
        </w:tc>
        <w:tc>
          <w:tcPr>
            <w:tcW w:w="6887" w:type="dxa"/>
            <w:gridSpan w:val="2"/>
            <w:vMerge w:val="continue"/>
            <w:vAlign w:val="center"/>
          </w:tcPr>
          <w:p>
            <w:pPr>
              <w:ind w:firstLine="420" w:firstLineChars="200"/>
              <w:jc w:val="center"/>
            </w:pPr>
          </w:p>
        </w:tc>
        <w:tc>
          <w:tcPr>
            <w:tcW w:w="1500" w:type="dxa"/>
            <w:vAlign w:val="center"/>
          </w:tcPr>
          <w:p>
            <w:pPr>
              <w:spacing w:line="280" w:lineRule="exact"/>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2017年</w:t>
            </w:r>
          </w:p>
        </w:tc>
        <w:tc>
          <w:tcPr>
            <w:tcW w:w="1600"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4"/>
                <w:szCs w:val="24"/>
                <w:u w:val="none"/>
                <w:lang w:val="en-US" w:eastAsia="zh-CN" w:bidi="ar"/>
              </w:rPr>
              <w:t>455.8</w:t>
            </w:r>
          </w:p>
        </w:tc>
        <w:tc>
          <w:tcPr>
            <w:tcW w:w="1789"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4"/>
                <w:szCs w:val="24"/>
                <w:u w:val="none"/>
                <w:lang w:val="en-US" w:eastAsia="zh-CN" w:bidi="ar"/>
              </w:rPr>
              <w:t>189.6</w:t>
            </w:r>
          </w:p>
        </w:tc>
        <w:tc>
          <w:tcPr>
            <w:tcW w:w="1161"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645.4</w:t>
            </w:r>
          </w:p>
        </w:tc>
        <w:tc>
          <w:tcPr>
            <w:tcW w:w="784"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25" w:type="dxa"/>
            <w:vMerge w:val="continue"/>
            <w:vAlign w:val="center"/>
          </w:tcPr>
          <w:p>
            <w:pPr>
              <w:ind w:firstLine="420" w:firstLineChars="200"/>
              <w:jc w:val="center"/>
            </w:pPr>
          </w:p>
        </w:tc>
        <w:tc>
          <w:tcPr>
            <w:tcW w:w="6887" w:type="dxa"/>
            <w:gridSpan w:val="2"/>
            <w:vMerge w:val="continue"/>
            <w:vAlign w:val="center"/>
          </w:tcPr>
          <w:p>
            <w:pPr>
              <w:ind w:firstLine="420" w:firstLineChars="200"/>
              <w:jc w:val="center"/>
            </w:pPr>
          </w:p>
        </w:tc>
        <w:tc>
          <w:tcPr>
            <w:tcW w:w="1500" w:type="dxa"/>
            <w:vAlign w:val="center"/>
          </w:tcPr>
          <w:p>
            <w:pPr>
              <w:spacing w:line="280" w:lineRule="exact"/>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2018年</w:t>
            </w:r>
          </w:p>
        </w:tc>
        <w:tc>
          <w:tcPr>
            <w:tcW w:w="1600"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4"/>
                <w:szCs w:val="24"/>
                <w:u w:val="none"/>
                <w:lang w:val="en-US" w:eastAsia="zh-CN" w:bidi="ar"/>
              </w:rPr>
              <w:t>310.5</w:t>
            </w:r>
          </w:p>
        </w:tc>
        <w:tc>
          <w:tcPr>
            <w:tcW w:w="1789"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4"/>
                <w:szCs w:val="24"/>
                <w:u w:val="none"/>
                <w:lang w:val="en-US" w:eastAsia="zh-CN" w:bidi="ar"/>
              </w:rPr>
              <w:t>178.8</w:t>
            </w:r>
          </w:p>
        </w:tc>
        <w:tc>
          <w:tcPr>
            <w:tcW w:w="1161"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489.3</w:t>
            </w:r>
          </w:p>
        </w:tc>
        <w:tc>
          <w:tcPr>
            <w:tcW w:w="784"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525" w:type="dxa"/>
            <w:vMerge w:val="continue"/>
            <w:vAlign w:val="center"/>
          </w:tcPr>
          <w:p>
            <w:pPr>
              <w:ind w:firstLine="420" w:firstLineChars="200"/>
              <w:jc w:val="center"/>
            </w:pPr>
          </w:p>
        </w:tc>
        <w:tc>
          <w:tcPr>
            <w:tcW w:w="6887" w:type="dxa"/>
            <w:gridSpan w:val="2"/>
            <w:vMerge w:val="continue"/>
            <w:vAlign w:val="center"/>
          </w:tcPr>
          <w:p>
            <w:pPr>
              <w:ind w:firstLine="420" w:firstLineChars="200"/>
              <w:jc w:val="center"/>
            </w:pPr>
          </w:p>
        </w:tc>
        <w:tc>
          <w:tcPr>
            <w:tcW w:w="1500" w:type="dxa"/>
            <w:vAlign w:val="center"/>
          </w:tcPr>
          <w:p>
            <w:pPr>
              <w:spacing w:line="280" w:lineRule="exact"/>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201</w:t>
            </w:r>
            <w:r>
              <w:rPr>
                <w:rFonts w:hint="default" w:ascii="Times New Roman" w:hAnsi="Times New Roman" w:eastAsia="宋体" w:cs="Times New Roman"/>
                <w:sz w:val="21"/>
                <w:szCs w:val="21"/>
                <w:lang w:val="en-US" w:eastAsia="zh-CN"/>
              </w:rPr>
              <w:t>9</w:t>
            </w:r>
            <w:r>
              <w:rPr>
                <w:rFonts w:hint="default" w:ascii="Times New Roman" w:hAnsi="Times New Roman" w:eastAsia="宋体" w:cs="Times New Roman"/>
                <w:sz w:val="21"/>
                <w:szCs w:val="21"/>
              </w:rPr>
              <w:t>年</w:t>
            </w:r>
          </w:p>
        </w:tc>
        <w:tc>
          <w:tcPr>
            <w:tcW w:w="1600"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4"/>
                <w:szCs w:val="24"/>
                <w:u w:val="none"/>
                <w:lang w:val="en-US" w:eastAsia="zh-CN" w:bidi="ar"/>
              </w:rPr>
              <w:t>415</w:t>
            </w:r>
          </w:p>
        </w:tc>
        <w:tc>
          <w:tcPr>
            <w:tcW w:w="1789"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4"/>
                <w:szCs w:val="24"/>
                <w:u w:val="none"/>
                <w:lang w:val="en-US" w:eastAsia="zh-CN" w:bidi="ar"/>
              </w:rPr>
              <w:t>143.8</w:t>
            </w:r>
          </w:p>
        </w:tc>
        <w:tc>
          <w:tcPr>
            <w:tcW w:w="1161"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558.8</w:t>
            </w:r>
          </w:p>
        </w:tc>
        <w:tc>
          <w:tcPr>
            <w:tcW w:w="784"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525" w:type="dxa"/>
            <w:vMerge w:val="continue"/>
            <w:vAlign w:val="center"/>
          </w:tcPr>
          <w:p>
            <w:pPr>
              <w:ind w:firstLine="420" w:firstLineChars="200"/>
              <w:jc w:val="center"/>
            </w:pPr>
          </w:p>
        </w:tc>
        <w:tc>
          <w:tcPr>
            <w:tcW w:w="6887" w:type="dxa"/>
            <w:gridSpan w:val="2"/>
            <w:vMerge w:val="continue"/>
            <w:vAlign w:val="center"/>
          </w:tcPr>
          <w:p>
            <w:pPr>
              <w:ind w:firstLine="420" w:firstLineChars="200"/>
              <w:jc w:val="center"/>
            </w:pPr>
          </w:p>
        </w:tc>
        <w:tc>
          <w:tcPr>
            <w:tcW w:w="1500" w:type="dxa"/>
            <w:vAlign w:val="center"/>
          </w:tcPr>
          <w:p>
            <w:pPr>
              <w:spacing w:line="280" w:lineRule="exact"/>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20</w:t>
            </w:r>
            <w:r>
              <w:rPr>
                <w:rFonts w:hint="default" w:ascii="Times New Roman" w:hAnsi="Times New Roman" w:eastAsia="宋体" w:cs="Times New Roman"/>
                <w:sz w:val="21"/>
                <w:szCs w:val="21"/>
              </w:rPr>
              <w:t>年</w:t>
            </w:r>
          </w:p>
        </w:tc>
        <w:tc>
          <w:tcPr>
            <w:tcW w:w="1600"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4"/>
                <w:szCs w:val="24"/>
                <w:u w:val="none"/>
                <w:lang w:val="en-US" w:eastAsia="zh-CN" w:bidi="ar"/>
              </w:rPr>
              <w:t>306</w:t>
            </w:r>
          </w:p>
        </w:tc>
        <w:tc>
          <w:tcPr>
            <w:tcW w:w="1789"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4"/>
                <w:szCs w:val="24"/>
                <w:u w:val="none"/>
                <w:lang w:val="en-US" w:eastAsia="zh-CN" w:bidi="ar"/>
              </w:rPr>
              <w:t>177.4</w:t>
            </w:r>
          </w:p>
        </w:tc>
        <w:tc>
          <w:tcPr>
            <w:tcW w:w="1161"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483.4</w:t>
            </w:r>
          </w:p>
        </w:tc>
        <w:tc>
          <w:tcPr>
            <w:tcW w:w="784"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525" w:type="dxa"/>
            <w:vMerge w:val="continue"/>
            <w:vAlign w:val="center"/>
          </w:tcPr>
          <w:p>
            <w:pPr>
              <w:ind w:firstLine="420" w:firstLineChars="200"/>
              <w:jc w:val="center"/>
            </w:pPr>
          </w:p>
        </w:tc>
        <w:tc>
          <w:tcPr>
            <w:tcW w:w="6887" w:type="dxa"/>
            <w:gridSpan w:val="2"/>
            <w:vMerge w:val="continue"/>
            <w:vAlign w:val="center"/>
          </w:tcPr>
          <w:p>
            <w:pPr>
              <w:ind w:firstLine="420" w:firstLineChars="200"/>
              <w:jc w:val="center"/>
            </w:pPr>
          </w:p>
        </w:tc>
        <w:tc>
          <w:tcPr>
            <w:tcW w:w="1500" w:type="dxa"/>
            <w:vAlign w:val="center"/>
          </w:tcPr>
          <w:p>
            <w:pPr>
              <w:spacing w:line="280" w:lineRule="exact"/>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w:t>
            </w:r>
            <w:r>
              <w:rPr>
                <w:rFonts w:hint="eastAsia"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rPr>
              <w:t>年</w:t>
            </w:r>
          </w:p>
        </w:tc>
        <w:tc>
          <w:tcPr>
            <w:tcW w:w="1600"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4"/>
                <w:szCs w:val="24"/>
                <w:u w:val="none"/>
                <w:lang w:val="en-US" w:eastAsia="zh-CN" w:bidi="ar"/>
              </w:rPr>
              <w:t>409</w:t>
            </w:r>
          </w:p>
        </w:tc>
        <w:tc>
          <w:tcPr>
            <w:tcW w:w="1789"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4"/>
                <w:szCs w:val="24"/>
                <w:u w:val="none"/>
                <w:lang w:val="en-US" w:eastAsia="zh-CN" w:bidi="ar"/>
              </w:rPr>
              <w:t>164.8</w:t>
            </w:r>
          </w:p>
        </w:tc>
        <w:tc>
          <w:tcPr>
            <w:tcW w:w="1161"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573.8</w:t>
            </w:r>
          </w:p>
        </w:tc>
        <w:tc>
          <w:tcPr>
            <w:tcW w:w="784"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25" w:type="dxa"/>
            <w:vMerge w:val="continue"/>
            <w:vAlign w:val="center"/>
          </w:tcPr>
          <w:p>
            <w:pPr>
              <w:ind w:firstLine="420" w:firstLineChars="200"/>
              <w:jc w:val="center"/>
            </w:pPr>
          </w:p>
        </w:tc>
        <w:tc>
          <w:tcPr>
            <w:tcW w:w="6887" w:type="dxa"/>
            <w:gridSpan w:val="2"/>
            <w:vMerge w:val="continue"/>
            <w:vAlign w:val="center"/>
          </w:tcPr>
          <w:p>
            <w:pPr>
              <w:ind w:firstLine="420" w:firstLineChars="200"/>
              <w:jc w:val="center"/>
            </w:pPr>
          </w:p>
        </w:tc>
        <w:tc>
          <w:tcPr>
            <w:tcW w:w="1500" w:type="dxa"/>
            <w:vAlign w:val="center"/>
          </w:tcPr>
          <w:p>
            <w:pPr>
              <w:spacing w:line="240" w:lineRule="auto"/>
              <w:jc w:val="center"/>
              <w:rPr>
                <w:sz w:val="21"/>
                <w:szCs w:val="21"/>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w:t>
            </w:r>
            <w:r>
              <w:rPr>
                <w:rFonts w:hint="eastAsia"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rPr>
              <w:t>年</w:t>
            </w:r>
          </w:p>
        </w:tc>
        <w:tc>
          <w:tcPr>
            <w:tcW w:w="1600" w:type="dxa"/>
            <w:vAlign w:val="center"/>
          </w:tcPr>
          <w:p>
            <w:pPr>
              <w:keepNext w:val="0"/>
              <w:keepLines w:val="0"/>
              <w:widowControl/>
              <w:suppressLineNumbers w:val="0"/>
              <w:jc w:val="center"/>
              <w:textAlignment w:val="center"/>
              <w:rPr>
                <w:rFonts w:hint="default" w:ascii="Times New Roman" w:hAnsi="Times New Roman" w:cs="Times New Roman"/>
                <w:sz w:val="21"/>
                <w:szCs w:val="21"/>
                <w:lang w:val="en-US"/>
              </w:rPr>
            </w:pPr>
            <w:r>
              <w:rPr>
                <w:rFonts w:hint="default" w:ascii="Times New Roman" w:hAnsi="Times New Roman" w:eastAsia="宋体" w:cs="Times New Roman"/>
                <w:i w:val="0"/>
                <w:iCs w:val="0"/>
                <w:color w:val="000000"/>
                <w:kern w:val="0"/>
                <w:sz w:val="24"/>
                <w:szCs w:val="24"/>
                <w:u w:val="none"/>
                <w:lang w:val="en-US" w:eastAsia="zh-CN" w:bidi="ar"/>
              </w:rPr>
              <w:t>366</w:t>
            </w:r>
          </w:p>
        </w:tc>
        <w:tc>
          <w:tcPr>
            <w:tcW w:w="1789" w:type="dxa"/>
            <w:vAlign w:val="center"/>
          </w:tcPr>
          <w:p>
            <w:pPr>
              <w:keepNext w:val="0"/>
              <w:keepLines w:val="0"/>
              <w:widowControl/>
              <w:suppressLineNumbers w:val="0"/>
              <w:jc w:val="center"/>
              <w:textAlignment w:val="center"/>
              <w:rPr>
                <w:rFonts w:hint="default" w:ascii="Times New Roman" w:hAnsi="Times New Roman" w:cs="Times New Roman"/>
                <w:sz w:val="21"/>
                <w:szCs w:val="21"/>
                <w:lang w:val="en-US"/>
              </w:rPr>
            </w:pPr>
            <w:r>
              <w:rPr>
                <w:rFonts w:hint="default" w:ascii="Times New Roman" w:hAnsi="Times New Roman" w:eastAsia="宋体" w:cs="Times New Roman"/>
                <w:i w:val="0"/>
                <w:iCs w:val="0"/>
                <w:color w:val="000000"/>
                <w:kern w:val="0"/>
                <w:sz w:val="24"/>
                <w:szCs w:val="24"/>
                <w:u w:val="none"/>
                <w:lang w:val="en-US" w:eastAsia="zh-CN" w:bidi="ar"/>
              </w:rPr>
              <w:t>294.6</w:t>
            </w:r>
          </w:p>
        </w:tc>
        <w:tc>
          <w:tcPr>
            <w:tcW w:w="1161" w:type="dxa"/>
            <w:vAlign w:val="center"/>
          </w:tcPr>
          <w:p>
            <w:pPr>
              <w:keepNext w:val="0"/>
              <w:keepLines w:val="0"/>
              <w:widowControl/>
              <w:suppressLineNumbers w:val="0"/>
              <w:jc w:val="center"/>
              <w:textAlignment w:val="center"/>
              <w:rPr>
                <w:rFonts w:hint="default" w:ascii="Times New Roman" w:hAnsi="Times New Roman" w:cs="Times New Roman" w:eastAsiaTheme="minorEastAsia"/>
                <w:sz w:val="21"/>
                <w:szCs w:val="21"/>
                <w:lang w:val="en-US" w:eastAsia="zh-CN"/>
              </w:rPr>
            </w:pPr>
            <w:r>
              <w:rPr>
                <w:rFonts w:hint="default" w:ascii="Times New Roman" w:hAnsi="Times New Roman" w:eastAsia="宋体" w:cs="Times New Roman"/>
                <w:i w:val="0"/>
                <w:iCs w:val="0"/>
                <w:color w:val="000000"/>
                <w:kern w:val="0"/>
                <w:sz w:val="24"/>
                <w:szCs w:val="24"/>
                <w:u w:val="none"/>
                <w:lang w:val="en-US" w:eastAsia="zh-CN" w:bidi="ar"/>
              </w:rPr>
              <w:t>671.6</w:t>
            </w:r>
          </w:p>
        </w:tc>
        <w:tc>
          <w:tcPr>
            <w:tcW w:w="784"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25" w:type="dxa"/>
            <w:vMerge w:val="continue"/>
            <w:vAlign w:val="center"/>
          </w:tcPr>
          <w:p>
            <w:pPr>
              <w:ind w:firstLine="420" w:firstLineChars="200"/>
              <w:jc w:val="center"/>
            </w:pPr>
          </w:p>
        </w:tc>
        <w:tc>
          <w:tcPr>
            <w:tcW w:w="6887" w:type="dxa"/>
            <w:gridSpan w:val="2"/>
            <w:vMerge w:val="continue"/>
            <w:vAlign w:val="center"/>
          </w:tcPr>
          <w:p>
            <w:pPr>
              <w:ind w:firstLine="420" w:firstLineChars="200"/>
              <w:jc w:val="center"/>
            </w:pPr>
          </w:p>
        </w:tc>
        <w:tc>
          <w:tcPr>
            <w:tcW w:w="1500" w:type="dxa"/>
            <w:vAlign w:val="center"/>
          </w:tcPr>
          <w:p>
            <w:pPr>
              <w:spacing w:line="240" w:lineRule="auto"/>
              <w:jc w:val="center"/>
              <w:rPr>
                <w:rFonts w:hint="eastAsia"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val="en-US" w:eastAsia="zh-CN"/>
              </w:rPr>
              <w:t>2</w:t>
            </w: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年</w:t>
            </w:r>
            <w:r>
              <w:rPr>
                <w:rFonts w:hint="eastAsia" w:ascii="Times New Roman" w:hAnsi="Times New Roman" w:eastAsia="宋体" w:cs="Times New Roman"/>
                <w:sz w:val="21"/>
                <w:szCs w:val="21"/>
                <w:lang w:val="en-US" w:eastAsia="zh-CN"/>
              </w:rPr>
              <w:t>春</w:t>
            </w:r>
          </w:p>
        </w:tc>
        <w:tc>
          <w:tcPr>
            <w:tcW w:w="1600" w:type="dxa"/>
            <w:vAlign w:val="center"/>
          </w:tcPr>
          <w:p>
            <w:pPr>
              <w:keepNext w:val="0"/>
              <w:keepLines w:val="0"/>
              <w:widowControl/>
              <w:suppressLineNumbers w:val="0"/>
              <w:jc w:val="center"/>
              <w:textAlignment w:val="center"/>
              <w:rPr>
                <w:rFonts w:hint="default" w:ascii="Times New Roman" w:hAnsi="Times New Roman" w:cs="Times New Roman"/>
                <w:sz w:val="21"/>
                <w:szCs w:val="21"/>
                <w:lang w:val="en-US"/>
              </w:rPr>
            </w:pPr>
            <w:r>
              <w:rPr>
                <w:rFonts w:hint="default" w:ascii="Times New Roman" w:hAnsi="Times New Roman" w:eastAsia="宋体" w:cs="Times New Roman"/>
                <w:i w:val="0"/>
                <w:iCs w:val="0"/>
                <w:color w:val="000000"/>
                <w:kern w:val="0"/>
                <w:sz w:val="24"/>
                <w:szCs w:val="24"/>
                <w:u w:val="none"/>
                <w:lang w:val="en-US" w:eastAsia="zh-CN" w:bidi="ar"/>
              </w:rPr>
              <w:t>164</w:t>
            </w:r>
          </w:p>
        </w:tc>
        <w:tc>
          <w:tcPr>
            <w:tcW w:w="1789"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4"/>
                <w:szCs w:val="24"/>
                <w:u w:val="none"/>
                <w:lang w:val="en-US" w:eastAsia="zh-CN" w:bidi="ar"/>
              </w:rPr>
              <w:t>232.6</w:t>
            </w:r>
          </w:p>
        </w:tc>
        <w:tc>
          <w:tcPr>
            <w:tcW w:w="1161"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396.6</w:t>
            </w:r>
          </w:p>
        </w:tc>
        <w:tc>
          <w:tcPr>
            <w:tcW w:w="784"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9" w:hRule="atLeast"/>
        </w:trPr>
        <w:tc>
          <w:tcPr>
            <w:tcW w:w="525" w:type="dxa"/>
            <w:vAlign w:val="center"/>
          </w:tcPr>
          <w:p>
            <w:pPr>
              <w:numPr>
                <w:ilvl w:val="0"/>
                <w:numId w:val="0"/>
              </w:numPr>
              <w:jc w:val="center"/>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教教育教学业绩成果</w:t>
            </w:r>
          </w:p>
        </w:tc>
        <w:tc>
          <w:tcPr>
            <w:tcW w:w="12937" w:type="dxa"/>
            <w:gridSpan w:val="6"/>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jc w:val="left"/>
              <w:textAlignment w:val="auto"/>
              <w:rPr>
                <w:rFonts w:hint="default"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工作年限</w:t>
            </w:r>
          </w:p>
          <w:p>
            <w:pPr>
              <w:keepNext w:val="0"/>
              <w:keepLines w:val="0"/>
              <w:pageBreakBefore w:val="0"/>
              <w:widowControl w:val="0"/>
              <w:numPr>
                <w:ilvl w:val="0"/>
                <w:numId w:val="3"/>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2014年7月，应用技术学院土建专业教师岗位，共9年5个月。2022年7月至2023年11月、2015年3月至2019年7月期间，担任土建教研室主任。</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jc w:val="left"/>
              <w:textAlignment w:val="auto"/>
              <w:rPr>
                <w:rFonts w:hint="eastAsia" w:ascii="黑体" w:hAnsi="黑体" w:eastAsia="黑体" w:cs="黑体"/>
                <w:b w:val="0"/>
                <w:bCs w:val="0"/>
                <w:sz w:val="24"/>
                <w:szCs w:val="24"/>
                <w:lang w:val="en-US" w:eastAsia="zh-CN"/>
              </w:rPr>
            </w:pPr>
            <w:r>
              <w:rPr>
                <w:rFonts w:hint="default" w:ascii="黑体" w:hAnsi="黑体" w:eastAsia="黑体" w:cs="黑体"/>
                <w:b w:val="0"/>
                <w:bCs w:val="0"/>
                <w:sz w:val="24"/>
                <w:szCs w:val="24"/>
                <w:lang w:val="en-US" w:eastAsia="zh-CN"/>
              </w:rPr>
              <w:t>主持</w:t>
            </w:r>
            <w:r>
              <w:rPr>
                <w:rFonts w:hint="eastAsia" w:ascii="黑体" w:hAnsi="黑体" w:eastAsia="黑体" w:cs="黑体"/>
                <w:b w:val="0"/>
                <w:bCs w:val="0"/>
                <w:sz w:val="24"/>
                <w:szCs w:val="24"/>
                <w:lang w:val="en-US" w:eastAsia="zh-CN"/>
              </w:rPr>
              <w:t>和</w:t>
            </w:r>
            <w:r>
              <w:rPr>
                <w:rFonts w:hint="default" w:ascii="黑体" w:hAnsi="黑体" w:eastAsia="黑体" w:cs="黑体"/>
                <w:b w:val="0"/>
                <w:bCs w:val="0"/>
                <w:sz w:val="24"/>
                <w:szCs w:val="24"/>
                <w:lang w:val="en-US" w:eastAsia="zh-CN"/>
              </w:rPr>
              <w:t>参与专业建设、课程建设情况</w:t>
            </w:r>
          </w:p>
          <w:p>
            <w:pPr>
              <w:keepNext w:val="0"/>
              <w:keepLines w:val="0"/>
              <w:pageBreakBefore w:val="0"/>
              <w:widowControl w:val="0"/>
              <w:numPr>
                <w:ilvl w:val="0"/>
                <w:numId w:val="4"/>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主持高等学历继续教育建筑工程技术专业申报成功，排名第一，教育部，2023年。</w:t>
            </w:r>
          </w:p>
          <w:p>
            <w:pPr>
              <w:keepNext w:val="0"/>
              <w:keepLines w:val="0"/>
              <w:pageBreakBefore w:val="0"/>
              <w:widowControl w:val="0"/>
              <w:numPr>
                <w:ilvl w:val="0"/>
                <w:numId w:val="4"/>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参与高等学历继续教育建设工程管理专业申报成功，排名第二，教育部，2023年。</w:t>
            </w:r>
          </w:p>
          <w:p>
            <w:pPr>
              <w:keepNext w:val="0"/>
              <w:keepLines w:val="0"/>
              <w:pageBreakBefore w:val="0"/>
              <w:widowControl w:val="0"/>
              <w:numPr>
                <w:ilvl w:val="0"/>
                <w:numId w:val="4"/>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参与“村社区基层人才定向培养项目”建设工程管理专业，申报成功，排名第二，湖南省教育厅，2020年。</w:t>
            </w:r>
          </w:p>
          <w:p>
            <w:pPr>
              <w:keepNext w:val="0"/>
              <w:keepLines w:val="0"/>
              <w:pageBreakBefore w:val="0"/>
              <w:widowControl w:val="0"/>
              <w:numPr>
                <w:ilvl w:val="0"/>
                <w:numId w:val="4"/>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主持</w:t>
            </w:r>
            <w:r>
              <w:rPr>
                <w:rFonts w:hint="default" w:ascii="仿宋" w:hAnsi="仿宋" w:eastAsia="仿宋" w:cs="仿宋"/>
                <w:color w:val="auto"/>
                <w:sz w:val="24"/>
                <w:szCs w:val="24"/>
                <w:lang w:val="en-US" w:eastAsia="zh-CN"/>
              </w:rPr>
              <w:t>校级</w:t>
            </w:r>
            <w:r>
              <w:rPr>
                <w:rFonts w:hint="eastAsia" w:ascii="仿宋" w:hAnsi="仿宋" w:eastAsia="仿宋" w:cs="仿宋"/>
                <w:color w:val="auto"/>
                <w:sz w:val="24"/>
                <w:szCs w:val="24"/>
                <w:lang w:val="en-US" w:eastAsia="zh-CN"/>
              </w:rPr>
              <w:t>重点</w:t>
            </w:r>
            <w:r>
              <w:rPr>
                <w:rFonts w:hint="default" w:ascii="仿宋" w:hAnsi="仿宋" w:eastAsia="仿宋" w:cs="仿宋"/>
                <w:color w:val="auto"/>
                <w:sz w:val="24"/>
                <w:szCs w:val="24"/>
                <w:lang w:val="en-US" w:eastAsia="zh-CN"/>
              </w:rPr>
              <w:t>课程建设项目《高速公路》</w:t>
            </w:r>
            <w:r>
              <w:rPr>
                <w:rFonts w:hint="eastAsia" w:ascii="仿宋" w:hAnsi="仿宋" w:eastAsia="仿宋" w:cs="仿宋"/>
                <w:color w:val="auto"/>
                <w:sz w:val="24"/>
                <w:szCs w:val="24"/>
                <w:lang w:val="en-US" w:eastAsia="zh-CN"/>
              </w:rPr>
              <w:t>，验收通过，湖南开放大学，排名第一，2023年。</w:t>
            </w:r>
          </w:p>
          <w:p>
            <w:pPr>
              <w:keepNext w:val="0"/>
              <w:keepLines w:val="0"/>
              <w:pageBreakBefore w:val="0"/>
              <w:widowControl w:val="0"/>
              <w:numPr>
                <w:ilvl w:val="0"/>
                <w:numId w:val="4"/>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主持校级立项课程网络教学团队建设（高速公路课程），考核“优秀”，主持第一，2023年9月。</w:t>
            </w:r>
          </w:p>
          <w:p>
            <w:pPr>
              <w:keepNext w:val="0"/>
              <w:keepLines w:val="0"/>
              <w:pageBreakBefore w:val="0"/>
              <w:widowControl w:val="0"/>
              <w:numPr>
                <w:ilvl w:val="0"/>
                <w:numId w:val="4"/>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参与国开核心网络教学团队 桥梁工程，考核等级为“优秀”，排名第二，2021年。 </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jc w:val="both"/>
              <w:textAlignment w:val="auto"/>
              <w:rPr>
                <w:rFonts w:hint="eastAsia" w:ascii="黑体" w:hAnsi="黑体" w:eastAsia="黑体" w:cs="黑体"/>
                <w:b w:val="0"/>
                <w:bCs w:val="0"/>
                <w:sz w:val="24"/>
                <w:szCs w:val="24"/>
                <w:lang w:val="en-US" w:eastAsia="zh-CN"/>
              </w:rPr>
            </w:pPr>
            <w:r>
              <w:rPr>
                <w:rFonts w:hint="default" w:ascii="黑体" w:hAnsi="黑体" w:eastAsia="黑体" w:cs="黑体"/>
                <w:b w:val="0"/>
                <w:bCs w:val="0"/>
                <w:sz w:val="24"/>
                <w:szCs w:val="24"/>
                <w:lang w:val="en-US" w:eastAsia="zh-CN"/>
              </w:rPr>
              <w:t>指导学生参加竞赛活动获奖</w:t>
            </w:r>
          </w:p>
          <w:p>
            <w:pPr>
              <w:keepNext w:val="0"/>
              <w:keepLines w:val="0"/>
              <w:pageBreakBefore w:val="0"/>
              <w:widowControl w:val="0"/>
              <w:numPr>
                <w:ilvl w:val="0"/>
                <w:numId w:val="5"/>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湖南开放大学</w:t>
            </w:r>
            <w:r>
              <w:rPr>
                <w:rFonts w:hint="default" w:ascii="仿宋" w:hAnsi="仿宋" w:eastAsia="仿宋" w:cs="仿宋"/>
                <w:color w:val="auto"/>
                <w:sz w:val="24"/>
                <w:szCs w:val="24"/>
                <w:lang w:val="en-US" w:eastAsia="zh-CN"/>
              </w:rPr>
              <w:t>优秀毕业论文竞赛一等奖</w:t>
            </w:r>
            <w:r>
              <w:rPr>
                <w:rFonts w:hint="eastAsia" w:ascii="仿宋" w:hAnsi="仿宋" w:eastAsia="仿宋" w:cs="仿宋"/>
                <w:color w:val="auto"/>
                <w:sz w:val="24"/>
                <w:szCs w:val="24"/>
                <w:lang w:val="en-US" w:eastAsia="zh-CN"/>
              </w:rPr>
              <w:t>，排名第一，湖南开放大学，</w:t>
            </w:r>
            <w:r>
              <w:rPr>
                <w:rFonts w:hint="default" w:ascii="仿宋" w:hAnsi="仿宋" w:eastAsia="仿宋" w:cs="仿宋"/>
                <w:color w:val="auto"/>
                <w:sz w:val="24"/>
                <w:szCs w:val="24"/>
                <w:lang w:val="en-US" w:eastAsia="zh-CN"/>
              </w:rPr>
              <w:t>2016年</w:t>
            </w:r>
            <w:r>
              <w:rPr>
                <w:rFonts w:hint="eastAsia" w:ascii="仿宋" w:hAnsi="仿宋" w:eastAsia="仿宋" w:cs="仿宋"/>
                <w:color w:val="auto"/>
                <w:sz w:val="24"/>
                <w:szCs w:val="24"/>
                <w:lang w:val="en-US" w:eastAsia="zh-CN"/>
              </w:rPr>
              <w:t>。</w:t>
            </w:r>
          </w:p>
          <w:p>
            <w:pPr>
              <w:keepNext w:val="0"/>
              <w:keepLines w:val="0"/>
              <w:pageBreakBefore w:val="0"/>
              <w:widowControl w:val="0"/>
              <w:numPr>
                <w:ilvl w:val="0"/>
                <w:numId w:val="5"/>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湖南开放大学</w:t>
            </w:r>
            <w:r>
              <w:rPr>
                <w:rFonts w:hint="default" w:ascii="仿宋" w:hAnsi="仿宋" w:eastAsia="仿宋" w:cs="仿宋"/>
                <w:color w:val="auto"/>
                <w:sz w:val="24"/>
                <w:szCs w:val="24"/>
                <w:lang w:val="en-US" w:eastAsia="zh-CN"/>
              </w:rPr>
              <w:t>计算机应用基础知识大赛 二等奖</w:t>
            </w:r>
            <w:r>
              <w:rPr>
                <w:rFonts w:hint="eastAsia" w:ascii="仿宋" w:hAnsi="仿宋" w:eastAsia="仿宋" w:cs="仿宋"/>
                <w:color w:val="auto"/>
                <w:sz w:val="24"/>
                <w:szCs w:val="24"/>
                <w:lang w:val="en-US" w:eastAsia="zh-CN"/>
              </w:rPr>
              <w:t>，湖南开放大学，排名第一，</w:t>
            </w:r>
            <w:r>
              <w:rPr>
                <w:rFonts w:hint="default" w:ascii="仿宋" w:hAnsi="仿宋" w:eastAsia="仿宋" w:cs="仿宋"/>
                <w:color w:val="auto"/>
                <w:sz w:val="24"/>
                <w:szCs w:val="24"/>
                <w:lang w:val="en-US" w:eastAsia="zh-CN"/>
              </w:rPr>
              <w:t>2016年</w:t>
            </w:r>
            <w:r>
              <w:rPr>
                <w:rFonts w:hint="eastAsia" w:ascii="仿宋" w:hAnsi="仿宋" w:eastAsia="仿宋" w:cs="仿宋"/>
                <w:color w:val="auto"/>
                <w:sz w:val="24"/>
                <w:szCs w:val="24"/>
                <w:lang w:val="en-US" w:eastAsia="zh-CN"/>
              </w:rPr>
              <w:t>。</w:t>
            </w:r>
          </w:p>
          <w:p>
            <w:pPr>
              <w:keepNext w:val="0"/>
              <w:keepLines w:val="0"/>
              <w:pageBreakBefore w:val="0"/>
              <w:widowControl w:val="0"/>
              <w:numPr>
                <w:ilvl w:val="0"/>
                <w:numId w:val="5"/>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湖南开放大学</w:t>
            </w:r>
            <w:r>
              <w:rPr>
                <w:rFonts w:hint="default" w:ascii="仿宋" w:hAnsi="仿宋" w:eastAsia="仿宋" w:cs="仿宋"/>
                <w:color w:val="auto"/>
                <w:sz w:val="24"/>
                <w:szCs w:val="24"/>
                <w:lang w:val="en-US" w:eastAsia="zh-CN"/>
              </w:rPr>
              <w:t>优秀毕业论文竞赛一等奖</w:t>
            </w:r>
            <w:r>
              <w:rPr>
                <w:rFonts w:hint="eastAsia" w:ascii="仿宋" w:hAnsi="仿宋" w:eastAsia="仿宋" w:cs="仿宋"/>
                <w:color w:val="auto"/>
                <w:sz w:val="24"/>
                <w:szCs w:val="24"/>
                <w:lang w:val="en-US" w:eastAsia="zh-CN"/>
              </w:rPr>
              <w:t>，湖南开放大学，排名第一，</w:t>
            </w:r>
            <w:r>
              <w:rPr>
                <w:rFonts w:hint="default" w:ascii="仿宋" w:hAnsi="仿宋" w:eastAsia="仿宋" w:cs="仿宋"/>
                <w:color w:val="auto"/>
                <w:sz w:val="24"/>
                <w:szCs w:val="24"/>
                <w:lang w:val="en-US" w:eastAsia="zh-CN"/>
              </w:rPr>
              <w:t>2017年</w:t>
            </w:r>
            <w:r>
              <w:rPr>
                <w:rFonts w:hint="eastAsia" w:ascii="仿宋" w:hAnsi="仿宋" w:eastAsia="仿宋" w:cs="仿宋"/>
                <w:color w:val="auto"/>
                <w:sz w:val="24"/>
                <w:szCs w:val="24"/>
                <w:lang w:val="en-US" w:eastAsia="zh-CN"/>
              </w:rPr>
              <w:t>。</w:t>
            </w:r>
          </w:p>
          <w:p>
            <w:pPr>
              <w:keepNext w:val="0"/>
              <w:keepLines w:val="0"/>
              <w:pageBreakBefore w:val="0"/>
              <w:widowControl w:val="0"/>
              <w:numPr>
                <w:ilvl w:val="0"/>
                <w:numId w:val="5"/>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湖南开放大学</w:t>
            </w:r>
            <w:r>
              <w:rPr>
                <w:rFonts w:hint="default" w:ascii="仿宋" w:hAnsi="仿宋" w:eastAsia="仿宋" w:cs="仿宋"/>
                <w:color w:val="auto"/>
                <w:sz w:val="24"/>
                <w:szCs w:val="24"/>
                <w:lang w:val="en-US" w:eastAsia="zh-CN"/>
              </w:rPr>
              <w:t>计算机应用基础知识大赛一等奖</w:t>
            </w:r>
            <w:r>
              <w:rPr>
                <w:rFonts w:hint="eastAsia" w:ascii="仿宋" w:hAnsi="仿宋" w:eastAsia="仿宋" w:cs="仿宋"/>
                <w:color w:val="auto"/>
                <w:sz w:val="24"/>
                <w:szCs w:val="24"/>
                <w:lang w:val="en-US" w:eastAsia="zh-CN"/>
              </w:rPr>
              <w:t>，湖南开放大学，排名第一，</w:t>
            </w:r>
            <w:r>
              <w:rPr>
                <w:rFonts w:hint="default" w:ascii="仿宋" w:hAnsi="仿宋" w:eastAsia="仿宋" w:cs="仿宋"/>
                <w:color w:val="auto"/>
                <w:sz w:val="24"/>
                <w:szCs w:val="24"/>
                <w:lang w:val="en-US" w:eastAsia="zh-CN"/>
              </w:rPr>
              <w:t>2017年</w:t>
            </w:r>
            <w:r>
              <w:rPr>
                <w:rFonts w:hint="eastAsia" w:ascii="仿宋" w:hAnsi="仿宋" w:eastAsia="仿宋" w:cs="仿宋"/>
                <w:color w:val="auto"/>
                <w:sz w:val="24"/>
                <w:szCs w:val="24"/>
                <w:lang w:val="en-US" w:eastAsia="zh-CN"/>
              </w:rPr>
              <w:t>。</w:t>
            </w:r>
          </w:p>
          <w:p>
            <w:pPr>
              <w:keepNext w:val="0"/>
              <w:keepLines w:val="0"/>
              <w:pageBreakBefore w:val="0"/>
              <w:widowControl w:val="0"/>
              <w:numPr>
                <w:ilvl w:val="0"/>
                <w:numId w:val="5"/>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湖南开放大学</w:t>
            </w:r>
            <w:r>
              <w:rPr>
                <w:rFonts w:hint="default" w:ascii="仿宋" w:hAnsi="仿宋" w:eastAsia="仿宋" w:cs="仿宋"/>
                <w:color w:val="auto"/>
                <w:sz w:val="24"/>
                <w:szCs w:val="24"/>
                <w:lang w:val="en-US" w:eastAsia="zh-CN"/>
              </w:rPr>
              <w:t>计算机应用基础知识大赛二等奖</w:t>
            </w:r>
            <w:r>
              <w:rPr>
                <w:rFonts w:hint="eastAsia" w:ascii="仿宋" w:hAnsi="仿宋" w:eastAsia="仿宋" w:cs="仿宋"/>
                <w:color w:val="auto"/>
                <w:sz w:val="24"/>
                <w:szCs w:val="24"/>
                <w:lang w:val="en-US" w:eastAsia="zh-CN"/>
              </w:rPr>
              <w:t>，湖南开放大学，排名第一，</w:t>
            </w:r>
            <w:r>
              <w:rPr>
                <w:rFonts w:hint="default" w:ascii="仿宋" w:hAnsi="仿宋" w:eastAsia="仿宋" w:cs="仿宋"/>
                <w:color w:val="auto"/>
                <w:sz w:val="24"/>
                <w:szCs w:val="24"/>
                <w:lang w:val="en-US" w:eastAsia="zh-CN"/>
              </w:rPr>
              <w:t>2017年</w:t>
            </w:r>
            <w:r>
              <w:rPr>
                <w:rFonts w:hint="eastAsia" w:ascii="仿宋" w:hAnsi="仿宋" w:eastAsia="仿宋" w:cs="仿宋"/>
                <w:color w:val="auto"/>
                <w:sz w:val="24"/>
                <w:szCs w:val="24"/>
                <w:lang w:val="en-US" w:eastAsia="zh-CN"/>
              </w:rPr>
              <w:t>。</w:t>
            </w:r>
          </w:p>
          <w:p>
            <w:pPr>
              <w:keepNext w:val="0"/>
              <w:keepLines w:val="0"/>
              <w:pageBreakBefore w:val="0"/>
              <w:widowControl w:val="0"/>
              <w:numPr>
                <w:ilvl w:val="0"/>
                <w:numId w:val="5"/>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湖南开放大学</w:t>
            </w:r>
            <w:r>
              <w:rPr>
                <w:rFonts w:hint="default" w:ascii="仿宋" w:hAnsi="仿宋" w:eastAsia="仿宋" w:cs="仿宋"/>
                <w:color w:val="auto"/>
                <w:sz w:val="24"/>
                <w:szCs w:val="24"/>
                <w:lang w:val="en-US" w:eastAsia="zh-CN"/>
              </w:rPr>
              <w:t>优秀毕业论文</w:t>
            </w:r>
            <w:r>
              <w:rPr>
                <w:rFonts w:hint="eastAsia" w:ascii="仿宋" w:hAnsi="仿宋" w:eastAsia="仿宋" w:cs="仿宋"/>
                <w:color w:val="auto"/>
                <w:sz w:val="24"/>
                <w:szCs w:val="24"/>
                <w:lang w:val="en-US" w:eastAsia="zh-CN"/>
              </w:rPr>
              <w:t>土建、医药类专业本科优秀毕业论文评选活动，一等奖，排名第一，2023年。</w:t>
            </w:r>
          </w:p>
          <w:p>
            <w:pPr>
              <w:keepNext w:val="0"/>
              <w:keepLines w:val="0"/>
              <w:pageBreakBefore w:val="0"/>
              <w:widowControl w:val="0"/>
              <w:numPr>
                <w:ilvl w:val="0"/>
                <w:numId w:val="5"/>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湖南开放大学</w:t>
            </w:r>
            <w:r>
              <w:rPr>
                <w:rFonts w:hint="default" w:ascii="仿宋" w:hAnsi="仿宋" w:eastAsia="仿宋" w:cs="仿宋"/>
                <w:color w:val="auto"/>
                <w:sz w:val="24"/>
                <w:szCs w:val="24"/>
                <w:lang w:val="en-US" w:eastAsia="zh-CN"/>
              </w:rPr>
              <w:t>优秀毕业论文</w:t>
            </w:r>
            <w:r>
              <w:rPr>
                <w:rFonts w:hint="eastAsia" w:ascii="仿宋" w:hAnsi="仿宋" w:eastAsia="仿宋" w:cs="仿宋"/>
                <w:color w:val="auto"/>
                <w:sz w:val="24"/>
                <w:szCs w:val="24"/>
                <w:lang w:val="en-US" w:eastAsia="zh-CN"/>
              </w:rPr>
              <w:t>土建、医药类专业本科优秀毕业论文评选活动，二等奖，排名第一，2023年。</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eastAsia="zh-CN"/>
              </w:rPr>
              <w:t>教学技能竞赛获奖</w:t>
            </w:r>
          </w:p>
          <w:p>
            <w:pPr>
              <w:keepNext w:val="0"/>
              <w:keepLines w:val="0"/>
              <w:pageBreakBefore w:val="0"/>
              <w:widowControl w:val="0"/>
              <w:numPr>
                <w:ilvl w:val="0"/>
                <w:numId w:val="6"/>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湖南开放大学第四届微课教学竞赛三等奖，湖南开放大学，排名第一，2018年。</w:t>
            </w:r>
          </w:p>
          <w:p>
            <w:pPr>
              <w:keepNext w:val="0"/>
              <w:keepLines w:val="0"/>
              <w:pageBreakBefore w:val="0"/>
              <w:widowControl w:val="0"/>
              <w:numPr>
                <w:ilvl w:val="0"/>
                <w:numId w:val="6"/>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高职高专院校信息素养大赛三等奖，排名第二，湖南省教育厅，2019年。</w:t>
            </w:r>
          </w:p>
          <w:p>
            <w:pPr>
              <w:keepNext w:val="0"/>
              <w:keepLines w:val="0"/>
              <w:pageBreakBefore w:val="0"/>
              <w:widowControl w:val="0"/>
              <w:numPr>
                <w:ilvl w:val="0"/>
                <w:numId w:val="6"/>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国家开放大学首届工科类教学技能大赛二等奖，国家开发大学，排名第一，2022年。</w:t>
            </w:r>
          </w:p>
          <w:p>
            <w:pPr>
              <w:keepNext w:val="0"/>
              <w:keepLines w:val="0"/>
              <w:pageBreakBefore w:val="0"/>
              <w:widowControl w:val="0"/>
              <w:numPr>
                <w:ilvl w:val="0"/>
                <w:numId w:val="6"/>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default"/>
                <w:b w:val="0"/>
                <w:bCs w:val="0"/>
                <w:vertAlign w:val="baseline"/>
                <w:lang w:val="en-US" w:eastAsia="zh-CN"/>
              </w:rPr>
            </w:pPr>
            <w:r>
              <w:rPr>
                <w:rFonts w:hint="eastAsia" w:ascii="仿宋" w:hAnsi="仿宋" w:eastAsia="仿宋" w:cs="仿宋"/>
                <w:color w:val="auto"/>
                <w:sz w:val="24"/>
                <w:szCs w:val="24"/>
                <w:lang w:val="en-US" w:eastAsia="zh-CN"/>
              </w:rPr>
              <w:t>湖南开放大学教师直播课教学能力大赛三等奖，湖南开放大学，排名第二，2023年。</w:t>
            </w:r>
          </w:p>
        </w:tc>
        <w:tc>
          <w:tcPr>
            <w:tcW w:w="784" w:type="dxa"/>
          </w:tcPr>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4" w:hRule="atLeast"/>
        </w:trPr>
        <w:tc>
          <w:tcPr>
            <w:tcW w:w="525" w:type="dxa"/>
            <w:vMerge w:val="restart"/>
            <w:vAlign w:val="center"/>
          </w:tcPr>
          <w:p>
            <w:pPr>
              <w:jc w:val="center"/>
              <w:rPr>
                <w:b/>
                <w:bCs/>
                <w:vertAlign w:val="baseline"/>
              </w:rPr>
            </w:pPr>
            <w:r>
              <w:rPr>
                <w:rFonts w:hint="eastAsia"/>
                <w:b/>
                <w:bCs/>
                <w:vertAlign w:val="baseline"/>
                <w:lang w:eastAsia="zh-CN"/>
              </w:rPr>
              <w:t>科研成果及业绩</w:t>
            </w:r>
          </w:p>
        </w:tc>
        <w:tc>
          <w:tcPr>
            <w:tcW w:w="835" w:type="dxa"/>
            <w:vAlign w:val="center"/>
          </w:tcPr>
          <w:p>
            <w:pPr>
              <w:jc w:val="both"/>
              <w:rPr>
                <w:rFonts w:hint="default"/>
                <w:vertAlign w:val="baseline"/>
                <w:lang w:val="en-US" w:eastAsia="zh-CN"/>
              </w:rPr>
            </w:pPr>
            <w:r>
              <w:rPr>
                <w:rFonts w:hint="eastAsia"/>
                <w:vertAlign w:val="baseline"/>
                <w:lang w:val="en-US" w:eastAsia="zh-CN"/>
              </w:rPr>
              <w:t>主要论著或论文</w:t>
            </w:r>
          </w:p>
        </w:tc>
        <w:tc>
          <w:tcPr>
            <w:tcW w:w="12102" w:type="dxa"/>
            <w:gridSpan w:val="5"/>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b w:val="0"/>
                <w:bCs w:val="0"/>
                <w:sz w:val="24"/>
                <w:szCs w:val="24"/>
                <w:lang w:val="en-US" w:eastAsia="zh-CN"/>
              </w:rPr>
            </w:pPr>
            <w:r>
              <w:rPr>
                <w:rFonts w:hint="eastAsia" w:ascii="黑体" w:hAnsi="黑体" w:eastAsia="黑体" w:cs="黑体"/>
                <w:b w:val="0"/>
                <w:bCs w:val="0"/>
                <w:sz w:val="24"/>
                <w:szCs w:val="24"/>
                <w:lang w:val="en-US" w:eastAsia="zh-CN"/>
              </w:rPr>
              <w:t>论文</w:t>
            </w:r>
            <w:r>
              <w:rPr>
                <w:rFonts w:hint="eastAsia" w:ascii="仿宋" w:hAnsi="仿宋" w:eastAsia="仿宋" w:cs="仿宋"/>
                <w:b w:val="0"/>
                <w:bCs w:val="0"/>
                <w:sz w:val="24"/>
                <w:szCs w:val="24"/>
                <w:lang w:val="en-US" w:eastAsia="zh-CN"/>
              </w:rPr>
              <w:t>：</w:t>
            </w:r>
          </w:p>
          <w:p>
            <w:pPr>
              <w:keepNext w:val="0"/>
              <w:keepLines w:val="0"/>
              <w:pageBreakBefore w:val="0"/>
              <w:widowControl w:val="0"/>
              <w:numPr>
                <w:ilvl w:val="0"/>
                <w:numId w:val="7"/>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sz w:val="24"/>
                <w:szCs w:val="24"/>
              </w:rPr>
              <w:t>Effect of Vehicular Blockin</w:t>
            </w:r>
            <w:r>
              <w:rPr>
                <w:rFonts w:hint="default" w:ascii="Times New Roman" w:hAnsi="Times New Roman" w:eastAsia="仿宋" w:cs="Times New Roman"/>
                <w:color w:val="auto"/>
                <w:sz w:val="24"/>
                <w:szCs w:val="24"/>
                <w:lang w:val="en-US" w:eastAsia="zh-CN"/>
              </w:rPr>
              <w:t>g Scene on Smoke Spread in the Longitudinal Ventilated Tunnel Fire，Case Studies in Thermal Engineering，2019.07，第一作者，SCI期刊JCR1区，代表作1。</w:t>
            </w:r>
          </w:p>
          <w:p>
            <w:pPr>
              <w:keepNext w:val="0"/>
              <w:keepLines w:val="0"/>
              <w:pageBreakBefore w:val="0"/>
              <w:widowControl w:val="0"/>
              <w:numPr>
                <w:ilvl w:val="0"/>
                <w:numId w:val="7"/>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Fire experiment on temperature distribution in an underground vertical car park，Case Studies in Thermal Engineering，2019.08，第一作者，SCI期刊JCR1区，代表作2。</w:t>
            </w:r>
          </w:p>
          <w:p>
            <w:pPr>
              <w:keepNext w:val="0"/>
              <w:keepLines w:val="0"/>
              <w:pageBreakBefore w:val="0"/>
              <w:widowControl w:val="0"/>
              <w:numPr>
                <w:ilvl w:val="0"/>
                <w:numId w:val="7"/>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Affect of Reinforcement Constraints on Shrinkage and Creep Prediction Model of High Performance Concrete, International Conference on Civil, Transportation and Environment (ICCTE 2016)，2016.06, 第一作者，CPCI会议论文。</w:t>
            </w:r>
          </w:p>
          <w:p>
            <w:pPr>
              <w:keepNext w:val="0"/>
              <w:keepLines w:val="0"/>
              <w:pageBreakBefore w:val="0"/>
              <w:widowControl w:val="0"/>
              <w:numPr>
                <w:ilvl w:val="0"/>
                <w:numId w:val="7"/>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S30408不锈钢高温材料性能及本构模型综述，建筑钢结构进展通讯，2020.10，通信作者，CSCD核心期刊。</w:t>
            </w:r>
          </w:p>
          <w:p>
            <w:pPr>
              <w:keepNext w:val="0"/>
              <w:keepLines w:val="0"/>
              <w:pageBreakBefore w:val="0"/>
              <w:widowControl w:val="0"/>
              <w:numPr>
                <w:ilvl w:val="0"/>
                <w:numId w:val="7"/>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带上盖物业地铁车辆段盖板结构耐火性能研究，铁道科学与工程学，2018.04，通信作者，CSCD核心期刊。</w:t>
            </w:r>
          </w:p>
          <w:p>
            <w:pPr>
              <w:keepNext w:val="0"/>
              <w:keepLines w:val="0"/>
              <w:pageBreakBefore w:val="0"/>
              <w:widowControl w:val="0"/>
              <w:numPr>
                <w:ilvl w:val="0"/>
                <w:numId w:val="7"/>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带上盖开发地铁车辆段咽喉区排烟系统研究，铁道科学与工程学报，2018.05，通信作者，CSCD核心期刊。</w:t>
            </w:r>
          </w:p>
          <w:p>
            <w:pPr>
              <w:keepNext w:val="0"/>
              <w:keepLines w:val="0"/>
              <w:pageBreakBefore w:val="0"/>
              <w:widowControl w:val="0"/>
              <w:numPr>
                <w:ilvl w:val="0"/>
                <w:numId w:val="7"/>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张拉工艺对预应力混凝土桥梁徐变的影响研究，施工技术，2019.06，第一作者，中科双百期刊。</w:t>
            </w:r>
          </w:p>
          <w:p>
            <w:pPr>
              <w:keepNext w:val="0"/>
              <w:keepLines w:val="0"/>
              <w:pageBreakBefore w:val="0"/>
              <w:widowControl w:val="0"/>
              <w:numPr>
                <w:ilvl w:val="0"/>
                <w:numId w:val="7"/>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default" w:ascii="Times New Roman" w:hAnsi="Times New Roman" w:eastAsia="仿宋" w:cs="Times New Roman"/>
                <w:sz w:val="24"/>
                <w:szCs w:val="24"/>
                <w:lang w:eastAsia="zh-CN"/>
              </w:rPr>
            </w:pPr>
            <w:r>
              <w:rPr>
                <w:rFonts w:hint="default" w:ascii="Times New Roman" w:hAnsi="Times New Roman" w:eastAsia="仿宋" w:cs="Times New Roman"/>
                <w:color w:val="auto"/>
                <w:sz w:val="24"/>
                <w:szCs w:val="24"/>
                <w:lang w:val="en-US" w:eastAsia="zh-CN"/>
              </w:rPr>
              <w:t>网络开放课程资源共享问</w:t>
            </w:r>
            <w:r>
              <w:rPr>
                <w:rFonts w:hint="default" w:ascii="Times New Roman" w:hAnsi="Times New Roman" w:eastAsia="仿宋" w:cs="Times New Roman"/>
                <w:sz w:val="24"/>
                <w:szCs w:val="24"/>
                <w:lang w:eastAsia="zh-CN"/>
              </w:rPr>
              <w:t>题和教学模式研究，科技创新导报，2019.06，独著，一般</w:t>
            </w:r>
            <w:r>
              <w:rPr>
                <w:rFonts w:hint="default" w:ascii="Times New Roman" w:hAnsi="Times New Roman" w:eastAsia="仿宋" w:cs="Times New Roman"/>
                <w:sz w:val="24"/>
                <w:szCs w:val="24"/>
                <w:lang w:val="en-US" w:eastAsia="zh-CN"/>
              </w:rPr>
              <w:t>教研教改</w:t>
            </w:r>
            <w:r>
              <w:rPr>
                <w:rFonts w:hint="default" w:ascii="Times New Roman" w:hAnsi="Times New Roman" w:eastAsia="仿宋" w:cs="Times New Roman"/>
                <w:sz w:val="24"/>
                <w:szCs w:val="24"/>
                <w:lang w:eastAsia="zh-CN"/>
              </w:rPr>
              <w:t>学术期刊。</w:t>
            </w:r>
          </w:p>
          <w:p>
            <w:pPr>
              <w:keepNext w:val="0"/>
              <w:keepLines w:val="0"/>
              <w:pageBreakBefore w:val="0"/>
              <w:widowControl w:val="0"/>
              <w:numPr>
                <w:ilvl w:val="0"/>
                <w:numId w:val="7"/>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default" w:ascii="Times New Roman" w:hAnsi="Times New Roman" w:eastAsia="仿宋" w:cs="Times New Roman"/>
                <w:kern w:val="2"/>
                <w:sz w:val="24"/>
                <w:szCs w:val="24"/>
                <w:lang w:val="en-US" w:eastAsia="zh-CN" w:bidi="ar-SA"/>
              </w:rPr>
            </w:pPr>
            <w:r>
              <w:rPr>
                <w:rFonts w:hint="eastAsia" w:ascii="仿宋" w:hAnsi="仿宋" w:eastAsia="仿宋"/>
                <w:sz w:val="24"/>
                <w:szCs w:val="24"/>
              </w:rPr>
              <w:t>基础方案及构件</w:t>
            </w:r>
            <w:r>
              <w:rPr>
                <w:rFonts w:hint="eastAsia" w:ascii="仿宋" w:hAnsi="仿宋" w:eastAsia="仿宋" w:cs="Times New Roman"/>
                <w:sz w:val="24"/>
                <w:szCs w:val="24"/>
              </w:rPr>
              <w:t>截面</w:t>
            </w:r>
            <w:r>
              <w:rPr>
                <w:rFonts w:hint="eastAsia" w:ascii="Times New Roman" w:hAnsi="Times New Roman" w:eastAsia="仿宋" w:cs="Times New Roman"/>
                <w:color w:val="auto"/>
                <w:sz w:val="24"/>
                <w:szCs w:val="24"/>
                <w:lang w:val="en-US" w:eastAsia="zh-CN"/>
              </w:rPr>
              <w:t>优化对建筑结构经济性的影响，建筑技术开发，</w:t>
            </w:r>
            <w:r>
              <w:rPr>
                <w:rFonts w:hint="default" w:ascii="Times New Roman" w:hAnsi="Times New Roman" w:eastAsia="仿宋" w:cs="Times New Roman"/>
                <w:color w:val="auto"/>
                <w:sz w:val="24"/>
                <w:szCs w:val="24"/>
                <w:lang w:val="en-US" w:eastAsia="zh-CN"/>
              </w:rPr>
              <w:t>2018</w:t>
            </w:r>
            <w:r>
              <w:rPr>
                <w:rFonts w:hint="eastAsia" w:ascii="Times New Roman" w:hAnsi="Times New Roman" w:eastAsia="仿宋" w:cs="Times New Roman"/>
                <w:color w:val="auto"/>
                <w:sz w:val="24"/>
                <w:szCs w:val="24"/>
                <w:lang w:val="en-US" w:eastAsia="zh-CN"/>
              </w:rPr>
              <w:t>.10，排名第一，科技核心。</w:t>
            </w:r>
          </w:p>
          <w:p>
            <w:pPr>
              <w:keepNext w:val="0"/>
              <w:keepLines w:val="0"/>
              <w:pageBreakBefore w:val="0"/>
              <w:widowControl w:val="0"/>
              <w:numPr>
                <w:ilvl w:val="0"/>
                <w:numId w:val="7"/>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ascii="Times New Roman" w:hAnsi="Times New Roman" w:eastAsia="仿宋" w:cs="Times New Roman"/>
                <w:color w:val="auto"/>
                <w:sz w:val="24"/>
                <w:szCs w:val="24"/>
                <w:lang w:val="en-US" w:eastAsia="zh-CN"/>
              </w:rPr>
            </w:pPr>
            <w:r>
              <w:rPr>
                <w:rFonts w:hint="eastAsia" w:ascii="Times New Roman" w:hAnsi="Times New Roman" w:eastAsia="仿宋" w:cs="Times New Roman"/>
                <w:sz w:val="24"/>
                <w:szCs w:val="24"/>
                <w:lang w:val="en-US" w:eastAsia="zh-CN"/>
              </w:rPr>
              <w:t>新工科模式下开放教育土木工程专业课程体系初步设计，科技资讯，2019年7月，排名第一。</w:t>
            </w:r>
          </w:p>
          <w:p>
            <w:pPr>
              <w:keepNext w:val="0"/>
              <w:keepLines w:val="0"/>
              <w:pageBreakBefore w:val="0"/>
              <w:widowControl w:val="0"/>
              <w:kinsoku/>
              <w:wordWrap/>
              <w:overflowPunct/>
              <w:topLinePunct w:val="0"/>
              <w:autoSpaceDE/>
              <w:autoSpaceDN/>
              <w:bidi w:val="0"/>
              <w:adjustRightInd/>
              <w:snapToGrid/>
              <w:spacing w:before="157" w:beforeLines="50" w:line="320" w:lineRule="exact"/>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教材及论文获奖：</w:t>
            </w:r>
          </w:p>
          <w:p>
            <w:pPr>
              <w:keepNext w:val="0"/>
              <w:keepLines w:val="0"/>
              <w:pageBreakBefore w:val="0"/>
              <w:widowControl w:val="0"/>
              <w:numPr>
                <w:ilvl w:val="0"/>
                <w:numId w:val="8"/>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sz w:val="24"/>
                <w:szCs w:val="24"/>
                <w:lang w:eastAsia="zh-CN"/>
              </w:rPr>
              <w:t>《土木工程概论</w:t>
            </w:r>
            <w:r>
              <w:rPr>
                <w:rFonts w:hint="eastAsia" w:ascii="仿宋" w:hAnsi="仿宋" w:eastAsia="仿宋" w:cs="仿宋"/>
                <w:color w:val="auto"/>
                <w:sz w:val="24"/>
                <w:szCs w:val="24"/>
                <w:lang w:val="en-US" w:eastAsia="zh-CN"/>
              </w:rPr>
              <w:t>》，电子科大学出版社，2019年6月，参编。</w:t>
            </w:r>
          </w:p>
          <w:p>
            <w:pPr>
              <w:keepNext w:val="0"/>
              <w:keepLines w:val="0"/>
              <w:pageBreakBefore w:val="0"/>
              <w:widowControl w:val="0"/>
              <w:numPr>
                <w:ilvl w:val="0"/>
                <w:numId w:val="8"/>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《灭火技术方法及装备》，机械工业出版社，十三五国家重点出版物出版规划项目，2020年8月，参编。</w:t>
            </w:r>
          </w:p>
          <w:p>
            <w:pPr>
              <w:keepNext w:val="0"/>
              <w:keepLines w:val="0"/>
              <w:pageBreakBefore w:val="0"/>
              <w:widowControl w:val="0"/>
              <w:numPr>
                <w:ilvl w:val="0"/>
                <w:numId w:val="8"/>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color w:val="auto"/>
                <w:sz w:val="24"/>
                <w:szCs w:val="24"/>
                <w:lang w:val="en-US" w:eastAsia="zh-CN"/>
              </w:rPr>
              <w:t>论文获奖：大空间</w:t>
            </w:r>
            <w:r>
              <w:rPr>
                <w:rFonts w:hint="eastAsia" w:ascii="仿宋" w:hAnsi="仿宋" w:eastAsia="仿宋" w:cs="仿宋"/>
                <w:sz w:val="24"/>
                <w:szCs w:val="24"/>
                <w:lang w:eastAsia="zh-CN"/>
              </w:rPr>
              <w:t>建筑移动市鼓风排烟模式研究，获国家开放大学体系学科论文征集展示活动二等奖，</w:t>
            </w:r>
            <w:r>
              <w:rPr>
                <w:rFonts w:hint="eastAsia" w:ascii="仿宋" w:hAnsi="仿宋" w:eastAsia="仿宋" w:cs="仿宋"/>
                <w:sz w:val="24"/>
                <w:szCs w:val="24"/>
                <w:lang w:val="en-US" w:eastAsia="zh-CN"/>
              </w:rPr>
              <w:t>2018年，第一</w:t>
            </w:r>
            <w:r>
              <w:rPr>
                <w:rFonts w:hint="eastAsia" w:ascii="仿宋" w:hAnsi="仿宋" w:eastAsia="仿宋" w:cs="仿宋"/>
                <w:sz w:val="24"/>
                <w:szCs w:val="24"/>
                <w:lang w:eastAsia="zh-CN"/>
              </w:rPr>
              <w:t>。</w:t>
            </w:r>
          </w:p>
          <w:p>
            <w:pPr>
              <w:spacing w:line="280" w:lineRule="exact"/>
              <w:jc w:val="both"/>
              <w:rPr>
                <w:rFonts w:hint="eastAsia" w:ascii="Times New Roman" w:hAnsi="Times New Roman" w:eastAsia="宋体" w:cs="Times New Roman"/>
                <w:kern w:val="2"/>
                <w:sz w:val="21"/>
                <w:szCs w:val="21"/>
                <w:lang w:val="en-US" w:eastAsia="zh-CN" w:bidi="ar-SA"/>
              </w:rPr>
            </w:pPr>
          </w:p>
        </w:tc>
        <w:tc>
          <w:tcPr>
            <w:tcW w:w="784" w:type="dxa"/>
            <w:vMerge w:val="restart"/>
            <w:vAlign w:val="top"/>
          </w:tcPr>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4" w:hRule="atLeast"/>
        </w:trPr>
        <w:tc>
          <w:tcPr>
            <w:tcW w:w="525" w:type="dxa"/>
            <w:vMerge w:val="continue"/>
            <w:vAlign w:val="center"/>
          </w:tcPr>
          <w:p>
            <w:pPr>
              <w:jc w:val="both"/>
            </w:pPr>
          </w:p>
        </w:tc>
        <w:tc>
          <w:tcPr>
            <w:tcW w:w="835" w:type="dxa"/>
            <w:vAlign w:val="center"/>
          </w:tcPr>
          <w:p>
            <w:pPr>
              <w:jc w:val="both"/>
              <w:rPr>
                <w:rFonts w:hint="default" w:eastAsiaTheme="minorEastAsia"/>
                <w:lang w:val="en-US" w:eastAsia="zh-CN"/>
              </w:rPr>
            </w:pPr>
            <w:r>
              <w:rPr>
                <w:rFonts w:hint="eastAsia"/>
                <w:lang w:val="en-US" w:eastAsia="zh-CN"/>
              </w:rPr>
              <w:t>承担或参与的科研技术开放项目及获奖情况</w:t>
            </w:r>
          </w:p>
        </w:tc>
        <w:tc>
          <w:tcPr>
            <w:tcW w:w="12102" w:type="dxa"/>
            <w:gridSpan w:val="5"/>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黑体" w:hAnsi="黑体" w:eastAsia="黑体" w:cs="黑体"/>
                <w:b w:val="0"/>
                <w:bCs w:val="0"/>
                <w:szCs w:val="21"/>
                <w:lang w:val="en-US" w:eastAsia="zh-CN"/>
              </w:rPr>
            </w:pPr>
            <w:r>
              <w:rPr>
                <w:rFonts w:hint="eastAsia" w:ascii="黑体" w:hAnsi="黑体" w:eastAsia="黑体" w:cs="黑体"/>
                <w:b w:val="0"/>
                <w:bCs w:val="0"/>
                <w:szCs w:val="21"/>
                <w:lang w:val="en-US" w:eastAsia="zh-CN"/>
              </w:rPr>
              <w:t>科研项目：</w:t>
            </w:r>
          </w:p>
          <w:p>
            <w:pPr>
              <w:keepNext w:val="0"/>
              <w:keepLines w:val="0"/>
              <w:pageBreakBefore w:val="0"/>
              <w:widowControl w:val="0"/>
              <w:numPr>
                <w:ilvl w:val="0"/>
                <w:numId w:val="9"/>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40" w:firstLineChars="200"/>
              <w:textAlignment w:val="auto"/>
              <w:rPr>
                <w:rFonts w:hint="eastAsia" w:ascii="仿宋" w:hAnsi="仿宋" w:eastAsia="仿宋" w:cs="仿宋"/>
                <w:w w:val="100"/>
                <w:sz w:val="22"/>
                <w:szCs w:val="22"/>
                <w:lang w:val="en-US" w:eastAsia="zh-CN"/>
              </w:rPr>
            </w:pPr>
            <w:r>
              <w:rPr>
                <w:rFonts w:hint="eastAsia" w:ascii="仿宋" w:hAnsi="仿宋" w:eastAsia="仿宋" w:cs="仿宋"/>
                <w:w w:val="100"/>
                <w:sz w:val="22"/>
                <w:szCs w:val="22"/>
                <w:lang w:val="en-US" w:eastAsia="zh-CN"/>
              </w:rPr>
              <w:t>参与“尾</w:t>
            </w:r>
            <w:r>
              <w:rPr>
                <w:rFonts w:hint="eastAsia" w:ascii="仿宋" w:hAnsi="仿宋" w:eastAsia="仿宋" w:cs="仿宋"/>
                <w:b w:val="0"/>
                <w:bCs w:val="0"/>
                <w:w w:val="100"/>
                <w:sz w:val="22"/>
                <w:szCs w:val="22"/>
                <w:lang w:val="en-US" w:eastAsia="zh-CN"/>
              </w:rPr>
              <w:t>矿坝溃坝无</w:t>
            </w:r>
            <w:r>
              <w:rPr>
                <w:rFonts w:hint="eastAsia" w:ascii="仿宋" w:hAnsi="仿宋" w:eastAsia="仿宋" w:cs="仿宋"/>
                <w:w w:val="100"/>
                <w:sz w:val="22"/>
                <w:szCs w:val="22"/>
                <w:lang w:val="en-US" w:eastAsia="zh-CN"/>
              </w:rPr>
              <w:t>源监测机制及系统动态可靠性研究（51209236）”，国家自然科学基金项目，第三，2016年结题。</w:t>
            </w:r>
          </w:p>
          <w:p>
            <w:pPr>
              <w:keepNext w:val="0"/>
              <w:keepLines w:val="0"/>
              <w:pageBreakBefore w:val="0"/>
              <w:widowControl w:val="0"/>
              <w:numPr>
                <w:ilvl w:val="0"/>
                <w:numId w:val="9"/>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40" w:firstLineChars="200"/>
              <w:textAlignment w:val="auto"/>
              <w:rPr>
                <w:rFonts w:hint="eastAsia" w:ascii="仿宋" w:hAnsi="仿宋" w:eastAsia="仿宋" w:cs="仿宋"/>
                <w:w w:val="90"/>
                <w:sz w:val="22"/>
                <w:szCs w:val="22"/>
                <w:lang w:val="en-US" w:eastAsia="zh-CN"/>
              </w:rPr>
            </w:pPr>
            <w:r>
              <w:rPr>
                <w:rFonts w:hint="eastAsia" w:ascii="仿宋" w:hAnsi="仿宋" w:eastAsia="仿宋" w:cs="仿宋"/>
                <w:w w:val="100"/>
                <w:sz w:val="22"/>
                <w:szCs w:val="22"/>
                <w:lang w:val="en-US" w:eastAsia="zh-CN"/>
              </w:rPr>
              <w:t>主持“井筒式地下立体车库火灾及烟气蔓延试验研究（2020JJ7037）”,</w:t>
            </w:r>
            <w:r>
              <w:rPr>
                <w:rFonts w:hint="eastAsia" w:ascii="仿宋" w:hAnsi="仿宋" w:eastAsia="仿宋" w:cs="仿宋"/>
                <w:w w:val="90"/>
                <w:sz w:val="22"/>
                <w:szCs w:val="22"/>
                <w:lang w:val="en-US" w:eastAsia="zh-CN"/>
              </w:rPr>
              <w:t>湖南省自然科学基金项目，第一，2020年，在研。</w:t>
            </w:r>
          </w:p>
          <w:p>
            <w:pPr>
              <w:keepNext w:val="0"/>
              <w:keepLines w:val="0"/>
              <w:pageBreakBefore w:val="0"/>
              <w:widowControl w:val="0"/>
              <w:numPr>
                <w:ilvl w:val="0"/>
                <w:numId w:val="9"/>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40" w:firstLineChars="200"/>
              <w:textAlignment w:val="auto"/>
              <w:rPr>
                <w:rFonts w:hint="eastAsia" w:ascii="仿宋" w:hAnsi="仿宋" w:eastAsia="仿宋" w:cs="仿宋"/>
                <w:w w:val="100"/>
                <w:sz w:val="22"/>
                <w:szCs w:val="22"/>
                <w:lang w:val="en-US" w:eastAsia="zh-CN"/>
              </w:rPr>
            </w:pPr>
            <w:r>
              <w:rPr>
                <w:rFonts w:hint="eastAsia" w:ascii="仿宋" w:hAnsi="仿宋" w:eastAsia="仿宋" w:cs="仿宋"/>
                <w:w w:val="100"/>
                <w:sz w:val="22"/>
                <w:szCs w:val="22"/>
                <w:lang w:val="en-US" w:eastAsia="zh-CN"/>
              </w:rPr>
              <w:t>主持“火灾损伤建筑垃圾再生混凝土的力学性能研究（16C1077）”，湖南省教育厅科学研究项目，第一，2018年结题。</w:t>
            </w:r>
          </w:p>
          <w:p>
            <w:pPr>
              <w:keepNext w:val="0"/>
              <w:keepLines w:val="0"/>
              <w:pageBreakBefore w:val="0"/>
              <w:widowControl w:val="0"/>
              <w:numPr>
                <w:ilvl w:val="0"/>
                <w:numId w:val="9"/>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440" w:firstLineChars="200"/>
              <w:textAlignment w:val="auto"/>
              <w:rPr>
                <w:rFonts w:hint="eastAsia" w:ascii="仿宋" w:hAnsi="仿宋" w:eastAsia="仿宋" w:cs="仿宋"/>
                <w:w w:val="100"/>
                <w:sz w:val="22"/>
                <w:szCs w:val="22"/>
                <w:lang w:val="en-US" w:eastAsia="zh-CN"/>
              </w:rPr>
            </w:pPr>
            <w:r>
              <w:rPr>
                <w:rFonts w:hint="eastAsia" w:ascii="仿宋" w:hAnsi="仿宋" w:eastAsia="仿宋" w:cs="仿宋"/>
                <w:w w:val="100"/>
                <w:sz w:val="22"/>
                <w:szCs w:val="22"/>
                <w:lang w:val="en-US" w:eastAsia="zh-CN"/>
              </w:rPr>
              <w:t>参与“基于Y6-2X31系列大型双吸双支撑离心风机流场及其噪声模拟优化（18C1558）”，湖南省教育厅科学研究项目，第三，2022年结题。</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黑体" w:hAnsi="黑体" w:eastAsia="黑体" w:cs="黑体"/>
                <w:b w:val="0"/>
                <w:bCs w:val="0"/>
                <w:sz w:val="22"/>
                <w:szCs w:val="22"/>
                <w:lang w:val="en-US" w:eastAsia="zh-CN"/>
              </w:rPr>
            </w:pPr>
            <w:r>
              <w:rPr>
                <w:rFonts w:hint="eastAsia" w:ascii="黑体" w:hAnsi="黑体" w:eastAsia="黑体" w:cs="黑体"/>
                <w:b w:val="0"/>
                <w:bCs w:val="0"/>
                <w:sz w:val="22"/>
                <w:szCs w:val="22"/>
                <w:lang w:val="en-US" w:eastAsia="zh-CN"/>
              </w:rPr>
              <w:t>教改项目：</w:t>
            </w:r>
          </w:p>
          <w:p>
            <w:pPr>
              <w:keepNext w:val="0"/>
              <w:keepLines w:val="0"/>
              <w:pageBreakBefore w:val="0"/>
              <w:widowControl w:val="0"/>
              <w:numPr>
                <w:ilvl w:val="0"/>
                <w:numId w:val="10"/>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396" w:firstLineChars="200"/>
              <w:textAlignment w:val="auto"/>
              <w:rPr>
                <w:rFonts w:hint="eastAsia" w:ascii="仿宋" w:hAnsi="仿宋" w:eastAsia="仿宋" w:cs="仿宋"/>
                <w:w w:val="90"/>
                <w:sz w:val="22"/>
                <w:szCs w:val="22"/>
                <w:lang w:val="en-US" w:eastAsia="zh-CN"/>
              </w:rPr>
            </w:pPr>
            <w:r>
              <w:rPr>
                <w:rFonts w:hint="eastAsia" w:ascii="仿宋" w:hAnsi="仿宋" w:eastAsia="仿宋" w:cs="仿宋"/>
                <w:w w:val="90"/>
                <w:sz w:val="22"/>
                <w:szCs w:val="22"/>
                <w:lang w:val="en-US" w:eastAsia="zh-CN"/>
              </w:rPr>
              <w:t>参与“人工</w:t>
            </w:r>
            <w:r>
              <w:rPr>
                <w:rFonts w:hint="eastAsia" w:ascii="仿宋" w:hAnsi="仿宋" w:eastAsia="仿宋" w:cs="仿宋"/>
                <w:b w:val="0"/>
                <w:bCs w:val="0"/>
                <w:w w:val="90"/>
                <w:sz w:val="22"/>
                <w:szCs w:val="22"/>
                <w:lang w:val="en-US" w:eastAsia="zh-CN"/>
              </w:rPr>
              <w:t>智能背景下动态优化</w:t>
            </w:r>
            <w:r>
              <w:rPr>
                <w:rFonts w:hint="eastAsia" w:ascii="仿宋" w:hAnsi="仿宋" w:eastAsia="仿宋" w:cs="仿宋"/>
                <w:w w:val="90"/>
                <w:sz w:val="22"/>
                <w:szCs w:val="22"/>
                <w:lang w:val="en-US" w:eastAsia="zh-CN"/>
              </w:rPr>
              <w:t>资源建设与湖南智造深度融合的路径研究（XJK21BZJ002）”湖南省教育厅教育规划课题，第二，2022年结题。</w:t>
            </w:r>
          </w:p>
          <w:p>
            <w:pPr>
              <w:keepNext w:val="0"/>
              <w:keepLines w:val="0"/>
              <w:pageBreakBefore w:val="0"/>
              <w:widowControl w:val="0"/>
              <w:numPr>
                <w:ilvl w:val="0"/>
                <w:numId w:val="10"/>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396" w:firstLineChars="200"/>
              <w:textAlignment w:val="auto"/>
              <w:rPr>
                <w:rFonts w:hint="eastAsia" w:ascii="仿宋" w:hAnsi="仿宋" w:eastAsia="仿宋" w:cs="仿宋"/>
                <w:w w:val="90"/>
                <w:sz w:val="22"/>
                <w:szCs w:val="22"/>
                <w:lang w:val="en-US" w:eastAsia="zh-CN"/>
              </w:rPr>
            </w:pPr>
            <w:r>
              <w:rPr>
                <w:rFonts w:hint="eastAsia" w:ascii="仿宋" w:hAnsi="仿宋" w:eastAsia="仿宋" w:cs="仿宋"/>
                <w:w w:val="90"/>
                <w:sz w:val="22"/>
                <w:szCs w:val="22"/>
                <w:lang w:val="en-US" w:eastAsia="zh-CN"/>
              </w:rPr>
              <w:t>主持“MOOC（慕课）背景下开放教育土木工程课程改革和创新研究（XDK2015-A-4）”,湖南开放大学校级重点课题，第一，2018结题。</w:t>
            </w:r>
          </w:p>
          <w:p>
            <w:pPr>
              <w:keepNext w:val="0"/>
              <w:keepLines w:val="0"/>
              <w:pageBreakBefore w:val="0"/>
              <w:widowControl w:val="0"/>
              <w:numPr>
                <w:ilvl w:val="0"/>
                <w:numId w:val="10"/>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396" w:firstLineChars="200"/>
              <w:textAlignment w:val="auto"/>
              <w:rPr>
                <w:rFonts w:hint="eastAsia" w:ascii="仿宋" w:hAnsi="仿宋" w:eastAsia="仿宋" w:cs="仿宋"/>
                <w:w w:val="90"/>
                <w:sz w:val="22"/>
                <w:szCs w:val="22"/>
                <w:lang w:val="en-US" w:eastAsia="zh-CN"/>
              </w:rPr>
            </w:pPr>
            <w:r>
              <w:rPr>
                <w:rFonts w:hint="eastAsia" w:ascii="仿宋" w:hAnsi="仿宋" w:eastAsia="仿宋" w:cs="仿宋"/>
                <w:w w:val="90"/>
                <w:sz w:val="22"/>
                <w:szCs w:val="22"/>
                <w:lang w:val="en-US" w:eastAsia="zh-CN"/>
              </w:rPr>
              <w:t>主持“职业与成人教育网络共享课程教学模式研究（XDK2018-A-10）”，湖南开放大学校级重点课题，第一，2019年结题。</w:t>
            </w:r>
          </w:p>
          <w:p>
            <w:pPr>
              <w:keepNext w:val="0"/>
              <w:keepLines w:val="0"/>
              <w:pageBreakBefore w:val="0"/>
              <w:widowControl w:val="0"/>
              <w:numPr>
                <w:ilvl w:val="0"/>
                <w:numId w:val="10"/>
              </w:numPr>
              <w:suppressLineNumbers w:val="0"/>
              <w:kinsoku/>
              <w:wordWrap/>
              <w:overflowPunct/>
              <w:topLinePunct w:val="0"/>
              <w:autoSpaceDE/>
              <w:autoSpaceDN/>
              <w:bidi w:val="0"/>
              <w:adjustRightInd w:val="0"/>
              <w:snapToGrid w:val="0"/>
              <w:spacing w:before="0" w:beforeAutospacing="0" w:after="0" w:afterAutospacing="0" w:line="360" w:lineRule="exact"/>
              <w:ind w:left="0" w:leftChars="0" w:right="0" w:rightChars="0" w:firstLine="396" w:firstLineChars="200"/>
              <w:textAlignment w:val="auto"/>
              <w:rPr>
                <w:rFonts w:hint="eastAsia"/>
                <w:vertAlign w:val="baseline"/>
                <w:lang w:val="en-US" w:eastAsia="zh-CN"/>
              </w:rPr>
            </w:pPr>
            <w:r>
              <w:rPr>
                <w:rFonts w:hint="eastAsia" w:ascii="仿宋" w:hAnsi="仿宋" w:eastAsia="仿宋" w:cs="仿宋"/>
                <w:w w:val="90"/>
                <w:sz w:val="22"/>
                <w:szCs w:val="22"/>
                <w:lang w:val="en-US" w:eastAsia="zh-CN"/>
              </w:rPr>
              <w:t>参与“基于互联网产业链的‘互联网+’省级特色专业集群建设的研究与实践（XSP20YBZ086）”，湖南省社会科学成果评审委员会课题，第三，2022年结题。</w:t>
            </w:r>
          </w:p>
        </w:tc>
        <w:tc>
          <w:tcPr>
            <w:tcW w:w="784" w:type="dxa"/>
            <w:vMerge w:val="continue"/>
            <w:vAlign w:val="top"/>
          </w:tcPr>
          <w:p>
            <w:pPr>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trPr>
        <w:tc>
          <w:tcPr>
            <w:tcW w:w="525" w:type="dxa"/>
            <w:vAlign w:val="center"/>
          </w:tcPr>
          <w:p>
            <w:pPr>
              <w:jc w:val="center"/>
              <w:rPr>
                <w:b/>
                <w:bCs/>
                <w:vertAlign w:val="baseline"/>
              </w:rPr>
            </w:pPr>
            <w:r>
              <w:rPr>
                <w:rFonts w:hint="eastAsia"/>
                <w:b/>
                <w:bCs/>
                <w:vertAlign w:val="baseline"/>
                <w:lang w:eastAsia="zh-CN"/>
              </w:rPr>
              <w:t>社会服务</w:t>
            </w:r>
          </w:p>
        </w:tc>
        <w:tc>
          <w:tcPr>
            <w:tcW w:w="12937" w:type="dxa"/>
            <w:gridSpan w:val="6"/>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黑体" w:hAnsi="黑体" w:eastAsia="黑体" w:cs="黑体"/>
                <w:b w:val="0"/>
                <w:bCs w:val="0"/>
                <w:szCs w:val="21"/>
                <w:lang w:val="en-US" w:eastAsia="zh-CN"/>
              </w:rPr>
            </w:pPr>
            <w:r>
              <w:rPr>
                <w:rFonts w:hint="eastAsia" w:ascii="黑体" w:hAnsi="黑体" w:eastAsia="黑体" w:cs="黑体"/>
                <w:b w:val="0"/>
                <w:bCs w:val="0"/>
                <w:szCs w:val="21"/>
                <w:lang w:val="en-US" w:eastAsia="zh-CN"/>
              </w:rPr>
              <w:t>科研成果转化：</w:t>
            </w:r>
          </w:p>
          <w:p>
            <w:pPr>
              <w:keepNext w:val="0"/>
              <w:keepLines w:val="0"/>
              <w:pageBreakBefore w:val="0"/>
              <w:widowControl w:val="0"/>
              <w:numPr>
                <w:ilvl w:val="0"/>
                <w:numId w:val="11"/>
              </w:numPr>
              <w:tabs>
                <w:tab w:val="clear" w:pos="732"/>
              </w:tabs>
              <w:kinsoku/>
              <w:wordWrap/>
              <w:overflowPunct/>
              <w:topLinePunct w:val="0"/>
              <w:autoSpaceDE/>
              <w:autoSpaceDN/>
              <w:bidi w:val="0"/>
              <w:adjustRightInd/>
              <w:snapToGrid/>
              <w:spacing w:line="320" w:lineRule="exact"/>
              <w:ind w:left="420" w:leftChars="0" w:firstLine="0" w:firstLineChars="0"/>
              <w:textAlignment w:val="auto"/>
              <w:rPr>
                <w:rFonts w:hint="eastAsia" w:ascii="仿宋" w:hAnsi="仿宋" w:eastAsia="仿宋" w:cs="仿宋"/>
                <w:b w:val="0"/>
                <w:bCs w:val="0"/>
                <w:sz w:val="22"/>
                <w:szCs w:val="22"/>
                <w:lang w:val="en-US" w:eastAsia="zh-CN"/>
              </w:rPr>
            </w:pPr>
            <w:r>
              <w:rPr>
                <w:rFonts w:hint="eastAsia" w:ascii="仿宋" w:hAnsi="仿宋" w:eastAsia="仿宋" w:cs="仿宋"/>
                <w:b w:val="0"/>
                <w:bCs w:val="0"/>
                <w:sz w:val="22"/>
                <w:szCs w:val="22"/>
                <w:lang w:val="en-US" w:eastAsia="zh-CN"/>
              </w:rPr>
              <w:t>一种建筑工程用折叠式管件放置架，实用新型专利，公布号：CN209936886U，第一，2020.01公开。</w:t>
            </w:r>
          </w:p>
          <w:p>
            <w:pPr>
              <w:keepNext w:val="0"/>
              <w:keepLines w:val="0"/>
              <w:pageBreakBefore w:val="0"/>
              <w:widowControl w:val="0"/>
              <w:numPr>
                <w:ilvl w:val="0"/>
                <w:numId w:val="11"/>
              </w:numPr>
              <w:tabs>
                <w:tab w:val="clear" w:pos="732"/>
              </w:tabs>
              <w:kinsoku/>
              <w:wordWrap/>
              <w:overflowPunct/>
              <w:topLinePunct w:val="0"/>
              <w:autoSpaceDE/>
              <w:autoSpaceDN/>
              <w:bidi w:val="0"/>
              <w:adjustRightInd/>
              <w:snapToGrid/>
              <w:spacing w:line="320" w:lineRule="exact"/>
              <w:ind w:left="420" w:leftChars="0" w:firstLine="0" w:firstLineChars="0"/>
              <w:textAlignment w:val="auto"/>
              <w:rPr>
                <w:rFonts w:hint="eastAsia" w:ascii="仿宋" w:hAnsi="仿宋" w:eastAsia="仿宋" w:cs="仿宋"/>
                <w:b w:val="0"/>
                <w:bCs w:val="0"/>
                <w:sz w:val="22"/>
                <w:szCs w:val="22"/>
                <w:lang w:val="en-US" w:eastAsia="zh-CN"/>
              </w:rPr>
            </w:pPr>
            <w:r>
              <w:rPr>
                <w:rFonts w:hint="eastAsia" w:ascii="仿宋" w:hAnsi="仿宋" w:eastAsia="仿宋" w:cs="仿宋"/>
                <w:b w:val="0"/>
                <w:bCs w:val="0"/>
                <w:sz w:val="22"/>
                <w:szCs w:val="22"/>
                <w:lang w:val="en-US" w:eastAsia="zh-CN"/>
              </w:rPr>
              <w:t>一种新型卫生间地漏防水结构，实用新型专利，公布号：CN209854888U：第一，2019.12公开。</w:t>
            </w:r>
          </w:p>
          <w:p>
            <w:pPr>
              <w:keepNext w:val="0"/>
              <w:keepLines w:val="0"/>
              <w:pageBreakBefore w:val="0"/>
              <w:widowControl w:val="0"/>
              <w:numPr>
                <w:ilvl w:val="0"/>
                <w:numId w:val="11"/>
              </w:numPr>
              <w:tabs>
                <w:tab w:val="clear" w:pos="732"/>
              </w:tabs>
              <w:kinsoku/>
              <w:wordWrap/>
              <w:overflowPunct/>
              <w:topLinePunct w:val="0"/>
              <w:autoSpaceDE/>
              <w:autoSpaceDN/>
              <w:bidi w:val="0"/>
              <w:adjustRightInd/>
              <w:snapToGrid/>
              <w:spacing w:line="320" w:lineRule="exact"/>
              <w:ind w:left="420" w:leftChars="0" w:firstLine="0" w:firstLineChars="0"/>
              <w:textAlignment w:val="auto"/>
              <w:rPr>
                <w:rFonts w:hint="eastAsia" w:ascii="仿宋" w:hAnsi="仿宋" w:eastAsia="仿宋" w:cs="仿宋"/>
                <w:b w:val="0"/>
                <w:bCs w:val="0"/>
                <w:sz w:val="22"/>
                <w:szCs w:val="22"/>
                <w:lang w:val="en-US" w:eastAsia="zh-CN"/>
              </w:rPr>
            </w:pPr>
            <w:r>
              <w:rPr>
                <w:rFonts w:hint="eastAsia" w:ascii="仿宋" w:hAnsi="仿宋" w:eastAsia="仿宋" w:cs="仿宋"/>
                <w:b w:val="0"/>
                <w:bCs w:val="0"/>
                <w:sz w:val="22"/>
                <w:szCs w:val="22"/>
                <w:lang w:val="en-US" w:eastAsia="zh-CN"/>
              </w:rPr>
              <w:t>一种喷涂机用方便喷涂线条的角度调节装置，实用新型专利，公布号：CN209849156U，第一，2019.12公开。</w:t>
            </w:r>
          </w:p>
          <w:p>
            <w:pPr>
              <w:keepNext w:val="0"/>
              <w:keepLines w:val="0"/>
              <w:pageBreakBefore w:val="0"/>
              <w:widowControl w:val="0"/>
              <w:numPr>
                <w:ilvl w:val="0"/>
                <w:numId w:val="11"/>
              </w:numPr>
              <w:tabs>
                <w:tab w:val="clear" w:pos="732"/>
              </w:tabs>
              <w:kinsoku/>
              <w:wordWrap/>
              <w:overflowPunct/>
              <w:topLinePunct w:val="0"/>
              <w:autoSpaceDE/>
              <w:autoSpaceDN/>
              <w:bidi w:val="0"/>
              <w:adjustRightInd/>
              <w:snapToGrid/>
              <w:spacing w:line="320" w:lineRule="exact"/>
              <w:ind w:left="420" w:leftChars="0" w:firstLine="0" w:firstLineChars="0"/>
              <w:textAlignment w:val="auto"/>
              <w:rPr>
                <w:rFonts w:hint="default"/>
                <w:vertAlign w:val="baseline"/>
                <w:lang w:val="en-US" w:eastAsia="zh-CN"/>
              </w:rPr>
            </w:pPr>
            <w:r>
              <w:rPr>
                <w:rFonts w:hint="eastAsia" w:ascii="仿宋" w:hAnsi="仿宋" w:eastAsia="仿宋" w:cs="仿宋"/>
                <w:b w:val="0"/>
                <w:bCs w:val="0"/>
                <w:sz w:val="22"/>
                <w:szCs w:val="22"/>
                <w:lang w:val="en-US" w:eastAsia="zh-CN"/>
              </w:rPr>
              <w:t>一种便于拆装且角度可调的建筑施工防护栏，实用新型专利，公布号：CN209855375U，第一，2019.12公开。</w:t>
            </w:r>
          </w:p>
        </w:tc>
        <w:tc>
          <w:tcPr>
            <w:tcW w:w="784" w:type="dxa"/>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审核人签章</w:t>
            </w:r>
          </w:p>
        </w:tc>
      </w:tr>
    </w:tbl>
    <w:p>
      <w:pPr>
        <w:spacing w:line="240" w:lineRule="auto"/>
        <w:rPr>
          <w:sz w:val="24"/>
          <w:szCs w:val="32"/>
        </w:rPr>
      </w:pPr>
      <w:r>
        <w:rPr>
          <w:sz w:val="24"/>
          <w:szCs w:val="32"/>
        </w:rPr>
        <w:t xml:space="preserve">公示结果：  </w:t>
      </w:r>
      <w:r>
        <w:rPr>
          <w:sz w:val="18"/>
          <w:szCs w:val="18"/>
        </w:rPr>
        <w:t xml:space="preserve">                    </w:t>
      </w:r>
      <w:r>
        <w:rPr>
          <w:sz w:val="24"/>
          <w:szCs w:val="32"/>
        </w:rPr>
        <w:t xml:space="preserve">    单位（公章）：                           单位审核责任人签名：                                        </w:t>
      </w:r>
    </w:p>
    <w:p>
      <w:pPr>
        <w:keepNext w:val="0"/>
        <w:keepLines w:val="0"/>
        <w:pageBreakBefore w:val="0"/>
        <w:widowControl w:val="0"/>
        <w:kinsoku/>
        <w:wordWrap/>
        <w:overflowPunct/>
        <w:topLinePunct w:val="0"/>
        <w:autoSpaceDE/>
        <w:autoSpaceDN/>
        <w:bidi w:val="0"/>
        <w:adjustRightInd/>
        <w:snapToGrid/>
        <w:spacing w:before="157" w:beforeLines="50" w:line="240" w:lineRule="auto"/>
        <w:textAlignment w:val="auto"/>
      </w:pPr>
      <w:r>
        <w:rPr>
          <w:sz w:val="24"/>
          <w:szCs w:val="32"/>
        </w:rPr>
        <w:t xml:space="preserve">填表日期： </w:t>
      </w:r>
      <w:r>
        <w:rPr>
          <w:rFonts w:hint="eastAsia"/>
          <w:sz w:val="24"/>
          <w:szCs w:val="32"/>
          <w:lang w:val="en-US" w:eastAsia="zh-CN"/>
        </w:rPr>
        <w:t>2023年11</w:t>
      </w:r>
      <w:r>
        <w:rPr>
          <w:sz w:val="24"/>
          <w:szCs w:val="32"/>
        </w:rPr>
        <w:t xml:space="preserve"> 月 </w:t>
      </w:r>
      <w:r>
        <w:rPr>
          <w:rFonts w:hint="eastAsia"/>
          <w:sz w:val="24"/>
          <w:szCs w:val="32"/>
          <w:lang w:val="en-US" w:eastAsia="zh-CN"/>
        </w:rPr>
        <w:t>20</w:t>
      </w:r>
      <w:r>
        <w:rPr>
          <w:sz w:val="24"/>
          <w:szCs w:val="32"/>
        </w:rPr>
        <w:t xml:space="preserve"> 日</w:t>
      </w:r>
    </w:p>
    <w:sectPr>
      <w:headerReference r:id="rId3" w:type="default"/>
      <w:footerReference r:id="rId4" w:type="default"/>
      <w:pgSz w:w="16838" w:h="11906" w:orient="landscape"/>
      <w:pgMar w:top="1701" w:right="1440" w:bottom="1417"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800039E-8FB3-47D4-8D7E-1D0156B1BB5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3C3FF6E4-2214-4A84-82D2-EA0110F48475}"/>
  </w:font>
  <w:font w:name="仿宋">
    <w:panose1 w:val="02010609060101010101"/>
    <w:charset w:val="86"/>
    <w:family w:val="auto"/>
    <w:pitch w:val="default"/>
    <w:sig w:usb0="800002BF" w:usb1="38CF7CFA" w:usb2="00000016" w:usb3="00000000" w:csb0="00040001" w:csb1="00000000"/>
    <w:embedRegular r:id="rId3" w:fontKey="{8322D3AA-D10F-4EE3-8F93-9EF8DBA6FDC2}"/>
  </w:font>
  <w:font w:name="华文中宋">
    <w:panose1 w:val="02010600040101010101"/>
    <w:charset w:val="86"/>
    <w:family w:val="auto"/>
    <w:pitch w:val="default"/>
    <w:sig w:usb0="00000287" w:usb1="080F0000" w:usb2="00000000" w:usb3="00000000" w:csb0="0004009F" w:csb1="DFD70000"/>
    <w:embedRegular r:id="rId4" w:fontKey="{C20D79CC-B143-4179-9E2C-4C8103C6CB3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华文中宋" w:hAnsi="华文中宋" w:eastAsia="华文中宋" w:cs="华文中宋"/>
        <w:b/>
        <w:bCs/>
        <w:sz w:val="36"/>
        <w:szCs w:val="36"/>
        <w:lang w:val="en-US" w:eastAsia="zh-CN"/>
      </w:rPr>
    </w:pPr>
    <w:r>
      <w:rPr>
        <w:rFonts w:hint="eastAsia" w:ascii="华文中宋" w:hAnsi="华文中宋" w:eastAsia="华文中宋" w:cs="华文中宋"/>
        <w:b/>
        <w:bCs/>
        <w:sz w:val="36"/>
        <w:szCs w:val="36"/>
        <w:lang w:val="en-US" w:eastAsia="zh-CN"/>
      </w:rPr>
      <w:t>湖南开放大学高等学校教师系列（含实验技术）专业技术职称申报人员情况公示表</w:t>
    </w:r>
  </w:p>
  <w:p>
    <w:pPr>
      <w:pStyle w:val="3"/>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湖南开放大学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罗俊礼</w:t>
    </w:r>
    <w:r>
      <w:rPr>
        <w:rFonts w:hint="eastAsia"/>
        <w:sz w:val="30"/>
        <w:szCs w:val="30"/>
        <w:u w:val="none"/>
        <w:lang w:val="en-US" w:eastAsia="zh-CN"/>
      </w:rPr>
      <w:t xml:space="preserve"> 申报职称：</w:t>
    </w:r>
    <w:r>
      <w:rPr>
        <w:rFonts w:hint="eastAsia"/>
        <w:sz w:val="30"/>
        <w:szCs w:val="30"/>
        <w:u w:val="single"/>
        <w:lang w:val="en-US" w:eastAsia="zh-CN"/>
      </w:rPr>
      <w:t xml:space="preserve">副教授 </w:t>
    </w:r>
    <w:r>
      <w:rPr>
        <w:rFonts w:hint="eastAsia"/>
        <w:sz w:val="30"/>
        <w:szCs w:val="30"/>
        <w:u w:val="none"/>
        <w:lang w:val="en-US" w:eastAsia="zh-CN"/>
      </w:rPr>
      <w:t xml:space="preserve"> 学科（专业）：</w:t>
    </w:r>
    <w:r>
      <w:rPr>
        <w:rFonts w:hint="eastAsia"/>
        <w:sz w:val="30"/>
        <w:szCs w:val="30"/>
        <w:u w:val="single"/>
        <w:lang w:val="en-US" w:eastAsia="zh-CN"/>
      </w:rPr>
      <w:t xml:space="preserve">土木  </w:t>
    </w:r>
    <w:r>
      <w:rPr>
        <w:rFonts w:hint="eastAsia"/>
        <w:sz w:val="30"/>
        <w:szCs w:val="30"/>
        <w:u w:val="none"/>
        <w:lang w:val="en-US" w:eastAsia="zh-CN"/>
      </w:rPr>
      <w:t xml:space="preserve"> 申报类别：教学科研型</w:t>
    </w:r>
    <w:r>
      <w:rPr>
        <w:rFonts w:hint="eastAsia"/>
        <w:sz w:val="30"/>
        <w:szCs w:val="30"/>
        <w:u w:val="singl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2CE71A"/>
    <w:multiLevelType w:val="singleLevel"/>
    <w:tmpl w:val="9A2CE71A"/>
    <w:lvl w:ilvl="0" w:tentative="0">
      <w:start w:val="1"/>
      <w:numFmt w:val="decimal"/>
      <w:suff w:val="nothing"/>
      <w:lvlText w:val="%1．"/>
      <w:lvlJc w:val="left"/>
      <w:pPr>
        <w:ind w:left="0" w:firstLine="400"/>
      </w:pPr>
      <w:rPr>
        <w:rFonts w:hint="default"/>
        <w:b w:val="0"/>
        <w:bCs w:val="0"/>
        <w:sz w:val="24"/>
        <w:szCs w:val="24"/>
      </w:rPr>
    </w:lvl>
  </w:abstractNum>
  <w:abstractNum w:abstractNumId="1">
    <w:nsid w:val="9B515D69"/>
    <w:multiLevelType w:val="singleLevel"/>
    <w:tmpl w:val="9B515D69"/>
    <w:lvl w:ilvl="0" w:tentative="0">
      <w:start w:val="1"/>
      <w:numFmt w:val="decimal"/>
      <w:suff w:val="nothing"/>
      <w:lvlText w:val="%1．"/>
      <w:lvlJc w:val="left"/>
      <w:pPr>
        <w:ind w:left="0" w:firstLine="400"/>
      </w:pPr>
      <w:rPr>
        <w:rFonts w:hint="default"/>
        <w:b w:val="0"/>
        <w:bCs w:val="0"/>
        <w:sz w:val="24"/>
        <w:szCs w:val="24"/>
      </w:rPr>
    </w:lvl>
  </w:abstractNum>
  <w:abstractNum w:abstractNumId="2">
    <w:nsid w:val="BAEE165E"/>
    <w:multiLevelType w:val="singleLevel"/>
    <w:tmpl w:val="BAEE165E"/>
    <w:lvl w:ilvl="0" w:tentative="0">
      <w:start w:val="1"/>
      <w:numFmt w:val="decimal"/>
      <w:suff w:val="nothing"/>
      <w:lvlText w:val="%1．"/>
      <w:lvlJc w:val="left"/>
      <w:pPr>
        <w:ind w:left="0" w:firstLine="400"/>
      </w:pPr>
      <w:rPr>
        <w:rFonts w:hint="default"/>
        <w:b w:val="0"/>
        <w:bCs w:val="0"/>
        <w:sz w:val="24"/>
        <w:szCs w:val="24"/>
      </w:rPr>
    </w:lvl>
  </w:abstractNum>
  <w:abstractNum w:abstractNumId="3">
    <w:nsid w:val="D1E942C3"/>
    <w:multiLevelType w:val="singleLevel"/>
    <w:tmpl w:val="D1E942C3"/>
    <w:lvl w:ilvl="0" w:tentative="0">
      <w:start w:val="1"/>
      <w:numFmt w:val="decimal"/>
      <w:suff w:val="nothing"/>
      <w:lvlText w:val="%1．"/>
      <w:lvlJc w:val="left"/>
      <w:pPr>
        <w:ind w:left="0" w:firstLine="400"/>
      </w:pPr>
      <w:rPr>
        <w:rFonts w:hint="default"/>
        <w:b w:val="0"/>
        <w:bCs w:val="0"/>
        <w:sz w:val="24"/>
        <w:szCs w:val="24"/>
      </w:rPr>
    </w:lvl>
  </w:abstractNum>
  <w:abstractNum w:abstractNumId="4">
    <w:nsid w:val="E2D56D91"/>
    <w:multiLevelType w:val="singleLevel"/>
    <w:tmpl w:val="E2D56D91"/>
    <w:lvl w:ilvl="0" w:tentative="0">
      <w:start w:val="1"/>
      <w:numFmt w:val="decimal"/>
      <w:suff w:val="nothing"/>
      <w:lvlText w:val="%1．"/>
      <w:lvlJc w:val="left"/>
      <w:pPr>
        <w:ind w:left="0" w:firstLine="400"/>
      </w:pPr>
      <w:rPr>
        <w:rFonts w:hint="default"/>
        <w:b w:val="0"/>
        <w:bCs w:val="0"/>
        <w:sz w:val="24"/>
        <w:szCs w:val="24"/>
      </w:rPr>
    </w:lvl>
  </w:abstractNum>
  <w:abstractNum w:abstractNumId="5">
    <w:nsid w:val="E4E3F61D"/>
    <w:multiLevelType w:val="singleLevel"/>
    <w:tmpl w:val="E4E3F61D"/>
    <w:lvl w:ilvl="0" w:tentative="0">
      <w:start w:val="1"/>
      <w:numFmt w:val="decimal"/>
      <w:suff w:val="nothing"/>
      <w:lvlText w:val="%1．"/>
      <w:lvlJc w:val="left"/>
      <w:pPr>
        <w:ind w:left="0" w:firstLine="400"/>
      </w:pPr>
      <w:rPr>
        <w:rFonts w:hint="default"/>
        <w:b w:val="0"/>
        <w:bCs w:val="0"/>
        <w:sz w:val="24"/>
        <w:szCs w:val="24"/>
      </w:rPr>
    </w:lvl>
  </w:abstractNum>
  <w:abstractNum w:abstractNumId="6">
    <w:nsid w:val="E816F1EA"/>
    <w:multiLevelType w:val="singleLevel"/>
    <w:tmpl w:val="E816F1EA"/>
    <w:lvl w:ilvl="0" w:tentative="0">
      <w:start w:val="1"/>
      <w:numFmt w:val="decimal"/>
      <w:suff w:val="nothing"/>
      <w:lvlText w:val="%1．"/>
      <w:lvlJc w:val="left"/>
      <w:pPr>
        <w:ind w:left="0" w:firstLine="400"/>
      </w:pPr>
      <w:rPr>
        <w:rFonts w:hint="default"/>
        <w:b w:val="0"/>
        <w:bCs w:val="0"/>
        <w:sz w:val="24"/>
        <w:szCs w:val="24"/>
      </w:rPr>
    </w:lvl>
  </w:abstractNum>
  <w:abstractNum w:abstractNumId="7">
    <w:nsid w:val="1578DFF7"/>
    <w:multiLevelType w:val="singleLevel"/>
    <w:tmpl w:val="1578DFF7"/>
    <w:lvl w:ilvl="0" w:tentative="0">
      <w:start w:val="1"/>
      <w:numFmt w:val="decimal"/>
      <w:suff w:val="nothing"/>
      <w:lvlText w:val="%1．"/>
      <w:lvlJc w:val="left"/>
      <w:pPr>
        <w:ind w:left="0" w:firstLine="400"/>
      </w:pPr>
      <w:rPr>
        <w:rFonts w:hint="default"/>
        <w:b w:val="0"/>
        <w:bCs w:val="0"/>
        <w:sz w:val="24"/>
        <w:szCs w:val="24"/>
      </w:rPr>
    </w:lvl>
  </w:abstractNum>
  <w:abstractNum w:abstractNumId="8">
    <w:nsid w:val="20F26D76"/>
    <w:multiLevelType w:val="singleLevel"/>
    <w:tmpl w:val="20F26D76"/>
    <w:lvl w:ilvl="0" w:tentative="0">
      <w:start w:val="1"/>
      <w:numFmt w:val="decimal"/>
      <w:lvlText w:val="%1."/>
      <w:lvlJc w:val="left"/>
      <w:pPr>
        <w:ind w:left="425" w:hanging="425"/>
      </w:pPr>
      <w:rPr>
        <w:rFonts w:hint="default"/>
      </w:rPr>
    </w:lvl>
  </w:abstractNum>
  <w:abstractNum w:abstractNumId="9">
    <w:nsid w:val="43ACB848"/>
    <w:multiLevelType w:val="singleLevel"/>
    <w:tmpl w:val="43ACB848"/>
    <w:lvl w:ilvl="0" w:tentative="0">
      <w:start w:val="1"/>
      <w:numFmt w:val="decimal"/>
      <w:lvlText w:val="%1."/>
      <w:lvlJc w:val="left"/>
      <w:pPr>
        <w:tabs>
          <w:tab w:val="left" w:pos="732"/>
        </w:tabs>
        <w:ind w:left="420"/>
      </w:pPr>
      <w:rPr>
        <w:rFonts w:hint="default"/>
        <w:b w:val="0"/>
        <w:bCs w:val="0"/>
      </w:rPr>
    </w:lvl>
  </w:abstractNum>
  <w:abstractNum w:abstractNumId="10">
    <w:nsid w:val="75DA810F"/>
    <w:multiLevelType w:val="singleLevel"/>
    <w:tmpl w:val="75DA810F"/>
    <w:lvl w:ilvl="0" w:tentative="0">
      <w:start w:val="1"/>
      <w:numFmt w:val="decimal"/>
      <w:suff w:val="nothing"/>
      <w:lvlText w:val="%1．"/>
      <w:lvlJc w:val="left"/>
      <w:pPr>
        <w:ind w:left="0" w:firstLine="400"/>
      </w:pPr>
      <w:rPr>
        <w:rFonts w:hint="default"/>
        <w:b w:val="0"/>
        <w:bCs w:val="0"/>
        <w:sz w:val="24"/>
        <w:szCs w:val="24"/>
      </w:rPr>
    </w:lvl>
  </w:abstractNum>
  <w:num w:numId="1">
    <w:abstractNumId w:val="8"/>
  </w:num>
  <w:num w:numId="2">
    <w:abstractNumId w:val="10"/>
  </w:num>
  <w:num w:numId="3">
    <w:abstractNumId w:val="7"/>
  </w:num>
  <w:num w:numId="4">
    <w:abstractNumId w:val="3"/>
  </w:num>
  <w:num w:numId="5">
    <w:abstractNumId w:val="5"/>
  </w:num>
  <w:num w:numId="6">
    <w:abstractNumId w:val="4"/>
  </w:num>
  <w:num w:numId="7">
    <w:abstractNumId w:val="6"/>
  </w:num>
  <w:num w:numId="8">
    <w:abstractNumId w:val="1"/>
  </w:num>
  <w:num w:numId="9">
    <w:abstractNumId w:val="2"/>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hN2QxYTE0Y2ExNTQxY2MyNTc2MjUzMjViODMwODUifQ=="/>
  </w:docVars>
  <w:rsids>
    <w:rsidRoot w:val="56A9350E"/>
    <w:rsid w:val="01115E6A"/>
    <w:rsid w:val="01FE5233"/>
    <w:rsid w:val="038340E2"/>
    <w:rsid w:val="04335DA6"/>
    <w:rsid w:val="0786286D"/>
    <w:rsid w:val="07E6312F"/>
    <w:rsid w:val="08346622"/>
    <w:rsid w:val="090146C5"/>
    <w:rsid w:val="09B371A0"/>
    <w:rsid w:val="09CB1C01"/>
    <w:rsid w:val="0A3E226C"/>
    <w:rsid w:val="0A80786B"/>
    <w:rsid w:val="0B2E2A96"/>
    <w:rsid w:val="110D3F66"/>
    <w:rsid w:val="11752C0E"/>
    <w:rsid w:val="15BE749A"/>
    <w:rsid w:val="15C03212"/>
    <w:rsid w:val="17103D25"/>
    <w:rsid w:val="18300B23"/>
    <w:rsid w:val="18D41D66"/>
    <w:rsid w:val="19F26FDA"/>
    <w:rsid w:val="1A375F62"/>
    <w:rsid w:val="1BA2405D"/>
    <w:rsid w:val="1C640D9B"/>
    <w:rsid w:val="1CAE5116"/>
    <w:rsid w:val="1CD01D65"/>
    <w:rsid w:val="225E739B"/>
    <w:rsid w:val="22D8027D"/>
    <w:rsid w:val="230F5B30"/>
    <w:rsid w:val="242660B6"/>
    <w:rsid w:val="24AD52A9"/>
    <w:rsid w:val="27054F28"/>
    <w:rsid w:val="272A5FB2"/>
    <w:rsid w:val="273C335F"/>
    <w:rsid w:val="27B23302"/>
    <w:rsid w:val="28E3573D"/>
    <w:rsid w:val="29456345"/>
    <w:rsid w:val="2C4958B7"/>
    <w:rsid w:val="2CD45AC9"/>
    <w:rsid w:val="2D0F0096"/>
    <w:rsid w:val="2D7723B3"/>
    <w:rsid w:val="2F367CE8"/>
    <w:rsid w:val="30601E34"/>
    <w:rsid w:val="31CE41CD"/>
    <w:rsid w:val="325771B0"/>
    <w:rsid w:val="32D971A8"/>
    <w:rsid w:val="351D523D"/>
    <w:rsid w:val="357C6EC6"/>
    <w:rsid w:val="37040E86"/>
    <w:rsid w:val="38606463"/>
    <w:rsid w:val="3AA06FEA"/>
    <w:rsid w:val="3B350B93"/>
    <w:rsid w:val="3CF93408"/>
    <w:rsid w:val="3F5E1D3D"/>
    <w:rsid w:val="400006D7"/>
    <w:rsid w:val="416F5968"/>
    <w:rsid w:val="42EF4FB3"/>
    <w:rsid w:val="4323397D"/>
    <w:rsid w:val="43B26C52"/>
    <w:rsid w:val="458D460F"/>
    <w:rsid w:val="48AF3B53"/>
    <w:rsid w:val="4A9C6E98"/>
    <w:rsid w:val="4AD87A63"/>
    <w:rsid w:val="4D8602C2"/>
    <w:rsid w:val="4DAB7D28"/>
    <w:rsid w:val="4E444B90"/>
    <w:rsid w:val="4E651408"/>
    <w:rsid w:val="4F1638C7"/>
    <w:rsid w:val="500E459E"/>
    <w:rsid w:val="509765AA"/>
    <w:rsid w:val="50CC5E28"/>
    <w:rsid w:val="519502FC"/>
    <w:rsid w:val="537624A9"/>
    <w:rsid w:val="53E27133"/>
    <w:rsid w:val="55C93441"/>
    <w:rsid w:val="55D10548"/>
    <w:rsid w:val="5623455D"/>
    <w:rsid w:val="569F25F9"/>
    <w:rsid w:val="56A9350E"/>
    <w:rsid w:val="586725E8"/>
    <w:rsid w:val="5B81356B"/>
    <w:rsid w:val="5B9444F1"/>
    <w:rsid w:val="5DEB790C"/>
    <w:rsid w:val="5E5A54F4"/>
    <w:rsid w:val="5EF13A09"/>
    <w:rsid w:val="5F131121"/>
    <w:rsid w:val="5F64678F"/>
    <w:rsid w:val="60F05596"/>
    <w:rsid w:val="618B1F5D"/>
    <w:rsid w:val="61957557"/>
    <w:rsid w:val="61BE18D7"/>
    <w:rsid w:val="62921593"/>
    <w:rsid w:val="62EC2125"/>
    <w:rsid w:val="65472E61"/>
    <w:rsid w:val="65564C7A"/>
    <w:rsid w:val="66066051"/>
    <w:rsid w:val="69442B0E"/>
    <w:rsid w:val="6B113ED5"/>
    <w:rsid w:val="6B2F7D93"/>
    <w:rsid w:val="6C3513D9"/>
    <w:rsid w:val="6C7D05FF"/>
    <w:rsid w:val="707517AA"/>
    <w:rsid w:val="72FD7A9E"/>
    <w:rsid w:val="76614A01"/>
    <w:rsid w:val="76DB00A6"/>
    <w:rsid w:val="76E152C4"/>
    <w:rsid w:val="770B16B4"/>
    <w:rsid w:val="777431F1"/>
    <w:rsid w:val="78B418D7"/>
    <w:rsid w:val="78EC7D02"/>
    <w:rsid w:val="797B7AD9"/>
    <w:rsid w:val="7A79575C"/>
    <w:rsid w:val="7C174657"/>
    <w:rsid w:val="7CF739BB"/>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785</Words>
  <Characters>862</Characters>
  <Lines>0</Lines>
  <Paragraphs>0</Paragraphs>
  <TotalTime>0</TotalTime>
  <ScaleCrop>false</ScaleCrop>
  <LinksUpToDate>false</LinksUpToDate>
  <CharactersWithSpaces>867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2023-11-24T07:37:00Z</cp:lastPrinted>
  <dcterms:modified xsi:type="dcterms:W3CDTF">2023-11-30T07:14:01Z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2294686E412147AD997D5682D7A7A230_13</vt:lpwstr>
  </property>
</Properties>
</file>