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6"/>
        <w:gridCol w:w="1415"/>
        <w:gridCol w:w="220"/>
        <w:gridCol w:w="780"/>
        <w:gridCol w:w="855"/>
        <w:gridCol w:w="1635"/>
        <w:gridCol w:w="1410"/>
        <w:gridCol w:w="262"/>
        <w:gridCol w:w="1672"/>
        <w:gridCol w:w="211"/>
        <w:gridCol w:w="1461"/>
        <w:gridCol w:w="60"/>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pPr>
              <w:jc w:val="center"/>
              <w:rPr>
                <w:rFonts w:hint="eastAsia"/>
                <w:b/>
                <w:bCs/>
                <w:vertAlign w:val="baseline"/>
                <w:lang w:eastAsia="zh-CN"/>
              </w:rPr>
            </w:pPr>
            <w:bookmarkStart w:id="0" w:name="_GoBack"/>
            <w:bookmarkEnd w:id="0"/>
            <w:r>
              <w:rPr>
                <w:rFonts w:hint="eastAsia"/>
                <w:b/>
                <w:bCs/>
                <w:vertAlign w:val="baseline"/>
                <w:lang w:eastAsia="zh-CN"/>
              </w:rPr>
              <w:t>基本情况</w:t>
            </w:r>
          </w:p>
          <w:p>
            <w:pPr>
              <w:jc w:val="center"/>
              <w:rPr>
                <w:b/>
                <w:bCs/>
                <w:vertAlign w:val="baseline"/>
              </w:rPr>
            </w:pPr>
          </w:p>
        </w:tc>
        <w:tc>
          <w:tcPr>
            <w:tcW w:w="1479" w:type="dxa"/>
            <w:vAlign w:val="center"/>
          </w:tcPr>
          <w:p>
            <w:pPr>
              <w:jc w:val="center"/>
              <w:rPr>
                <w:rFonts w:hint="eastAsia" w:eastAsiaTheme="minorEastAsia"/>
                <w:vertAlign w:val="baseline"/>
                <w:lang w:val="en-US" w:eastAsia="zh-CN"/>
              </w:rPr>
            </w:pPr>
            <w:r>
              <w:rPr>
                <w:rFonts w:hint="eastAsia"/>
                <w:vertAlign w:val="baseline"/>
                <w:lang w:val="en-US" w:eastAsia="zh-CN"/>
              </w:rPr>
              <w:t>姓   名</w:t>
            </w:r>
          </w:p>
        </w:tc>
        <w:tc>
          <w:tcPr>
            <w:tcW w:w="1571"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 xml:space="preserve"> 彭芳</w:t>
            </w:r>
          </w:p>
        </w:tc>
        <w:tc>
          <w:tcPr>
            <w:tcW w:w="1000"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性别</w:t>
            </w:r>
          </w:p>
        </w:tc>
        <w:tc>
          <w:tcPr>
            <w:tcW w:w="2490" w:type="dxa"/>
            <w:gridSpan w:val="2"/>
            <w:vAlign w:val="center"/>
          </w:tcPr>
          <w:p>
            <w:pPr>
              <w:jc w:val="center"/>
              <w:rPr>
                <w:rFonts w:hint="eastAsia" w:eastAsiaTheme="minorEastAsia"/>
                <w:vertAlign w:val="baseline"/>
                <w:lang w:eastAsia="zh-CN"/>
              </w:rPr>
            </w:pPr>
            <w:r>
              <w:rPr>
                <w:rFonts w:hint="eastAsia"/>
                <w:vertAlign w:val="baseline"/>
                <w:lang w:eastAsia="zh-CN"/>
              </w:rPr>
              <w:t>女</w:t>
            </w:r>
          </w:p>
        </w:tc>
        <w:tc>
          <w:tcPr>
            <w:tcW w:w="1410" w:type="dxa"/>
            <w:vAlign w:val="center"/>
          </w:tcPr>
          <w:p>
            <w:pPr>
              <w:jc w:val="center"/>
              <w:rPr>
                <w:rFonts w:hint="default" w:eastAsiaTheme="minorEastAsia"/>
                <w:vertAlign w:val="baseline"/>
                <w:lang w:val="en-US" w:eastAsia="zh-CN"/>
              </w:rPr>
            </w:pPr>
            <w:r>
              <w:rPr>
                <w:rFonts w:hint="eastAsia"/>
                <w:vertAlign w:val="baseline"/>
                <w:lang w:val="en-US" w:eastAsia="zh-CN"/>
              </w:rPr>
              <w:t xml:space="preserve"> 出生年月</w:t>
            </w:r>
          </w:p>
        </w:tc>
        <w:tc>
          <w:tcPr>
            <w:tcW w:w="2145" w:type="dxa"/>
            <w:gridSpan w:val="3"/>
            <w:vAlign w:val="center"/>
          </w:tcPr>
          <w:p>
            <w:pPr>
              <w:jc w:val="center"/>
              <w:rPr>
                <w:rFonts w:hint="default"/>
                <w:vertAlign w:val="baseline"/>
                <w:lang w:val="en-US" w:eastAsia="zh-CN"/>
              </w:rPr>
            </w:pPr>
            <w:r>
              <w:rPr>
                <w:rFonts w:hint="eastAsia"/>
                <w:vertAlign w:val="baseline"/>
                <w:lang w:val="en-US" w:eastAsia="zh-CN"/>
              </w:rPr>
              <w:t>1977年4月</w:t>
            </w:r>
          </w:p>
        </w:tc>
        <w:tc>
          <w:tcPr>
            <w:tcW w:w="1521" w:type="dxa"/>
            <w:gridSpan w:val="2"/>
            <w:vAlign w:val="center"/>
          </w:tcPr>
          <w:p>
            <w:pPr>
              <w:jc w:val="center"/>
              <w:rPr>
                <w:rFonts w:hint="default"/>
                <w:vertAlign w:val="baseline"/>
                <w:lang w:val="en-US" w:eastAsia="zh-CN"/>
              </w:rPr>
            </w:pPr>
            <w:r>
              <w:rPr>
                <w:rFonts w:hint="eastAsia"/>
                <w:vertAlign w:val="baseline"/>
                <w:lang w:val="en-US" w:eastAsia="zh-CN"/>
              </w:rPr>
              <w:t>参加工作时间</w:t>
            </w:r>
          </w:p>
        </w:tc>
        <w:tc>
          <w:tcPr>
            <w:tcW w:w="1614" w:type="dxa"/>
            <w:vAlign w:val="center"/>
          </w:tcPr>
          <w:p>
            <w:pPr>
              <w:jc w:val="center"/>
              <w:rPr>
                <w:rFonts w:hint="default" w:eastAsiaTheme="minorEastAsia"/>
                <w:vertAlign w:val="baseline"/>
                <w:lang w:val="en-US" w:eastAsia="zh-CN"/>
              </w:rPr>
            </w:pPr>
            <w:r>
              <w:rPr>
                <w:rFonts w:hint="eastAsia"/>
                <w:vertAlign w:val="baseline"/>
                <w:lang w:val="en-US" w:eastAsia="zh-CN"/>
              </w:rPr>
              <w:t>1999年12月</w:t>
            </w:r>
          </w:p>
        </w:tc>
        <w:tc>
          <w:tcPr>
            <w:tcW w:w="818" w:type="dxa"/>
            <w:vMerge w:val="restart"/>
            <w:vAlign w:val="center"/>
          </w:tcPr>
          <w:p>
            <w:pPr>
              <w:jc w:val="center"/>
              <w:rPr>
                <w:rFonts w:hint="eastAsia"/>
                <w:vertAlign w:val="baseline"/>
                <w:lang w:eastAsia="zh-CN"/>
              </w:rPr>
            </w:pPr>
            <w:r>
              <w:rPr>
                <w:rFonts w:hint="eastAsia"/>
                <w:vertAlign w:val="baseline"/>
                <w:lang w:eastAsia="zh-CN"/>
              </w:rPr>
              <w:t>人事部门审核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现任专业技术职称</w:t>
            </w:r>
          </w:p>
        </w:tc>
        <w:tc>
          <w:tcPr>
            <w:tcW w:w="1571" w:type="dxa"/>
            <w:gridSpan w:val="2"/>
            <w:vAlign w:val="center"/>
          </w:tcPr>
          <w:p>
            <w:pPr>
              <w:jc w:val="center"/>
              <w:rPr>
                <w:rFonts w:hint="default"/>
                <w:vertAlign w:val="baseline"/>
                <w:lang w:val="en-US" w:eastAsia="zh-CN"/>
              </w:rPr>
            </w:pPr>
            <w:r>
              <w:rPr>
                <w:rFonts w:hint="eastAsia"/>
                <w:vertAlign w:val="baseline"/>
                <w:lang w:val="en-US" w:eastAsia="zh-CN"/>
              </w:rPr>
              <w:t xml:space="preserve">讲师 </w:t>
            </w:r>
          </w:p>
        </w:tc>
        <w:tc>
          <w:tcPr>
            <w:tcW w:w="1000" w:type="dxa"/>
            <w:gridSpan w:val="2"/>
            <w:vAlign w:val="center"/>
          </w:tcPr>
          <w:p>
            <w:pPr>
              <w:jc w:val="center"/>
              <w:rPr>
                <w:rFonts w:hint="eastAsia"/>
                <w:vertAlign w:val="baseline"/>
                <w:lang w:val="en-US" w:eastAsia="zh-CN"/>
              </w:rPr>
            </w:pPr>
            <w:r>
              <w:rPr>
                <w:rFonts w:hint="eastAsia"/>
                <w:vertAlign w:val="baseline"/>
                <w:lang w:val="en-US" w:eastAsia="zh-CN"/>
              </w:rPr>
              <w:t>获得</w:t>
            </w:r>
          </w:p>
          <w:p>
            <w:pPr>
              <w:jc w:val="center"/>
              <w:rPr>
                <w:rFonts w:hint="eastAsia"/>
                <w:vertAlign w:val="baseline"/>
                <w:lang w:eastAsia="zh-CN"/>
              </w:rPr>
            </w:pPr>
            <w:r>
              <w:rPr>
                <w:rFonts w:hint="eastAsia"/>
                <w:vertAlign w:val="baseline"/>
                <w:lang w:eastAsia="zh-CN"/>
              </w:rPr>
              <w:t>时间</w:t>
            </w:r>
          </w:p>
        </w:tc>
        <w:tc>
          <w:tcPr>
            <w:tcW w:w="2490" w:type="dxa"/>
            <w:gridSpan w:val="2"/>
            <w:vAlign w:val="center"/>
          </w:tcPr>
          <w:p>
            <w:pPr>
              <w:jc w:val="center"/>
              <w:rPr>
                <w:rFonts w:hint="default"/>
                <w:vertAlign w:val="baseline"/>
                <w:lang w:val="en-US" w:eastAsia="zh-CN"/>
              </w:rPr>
            </w:pPr>
            <w:r>
              <w:rPr>
                <w:rFonts w:hint="eastAsia"/>
                <w:vertAlign w:val="baseline"/>
                <w:lang w:val="en-US" w:eastAsia="zh-CN"/>
              </w:rPr>
              <w:t>2007年10月</w:t>
            </w:r>
          </w:p>
        </w:tc>
        <w:tc>
          <w:tcPr>
            <w:tcW w:w="1410" w:type="dxa"/>
            <w:vAlign w:val="center"/>
          </w:tcPr>
          <w:p>
            <w:pPr>
              <w:jc w:val="center"/>
              <w:rPr>
                <w:rFonts w:hint="default"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从事专业</w:t>
            </w:r>
          </w:p>
        </w:tc>
        <w:tc>
          <w:tcPr>
            <w:tcW w:w="2145" w:type="dxa"/>
            <w:gridSpan w:val="3"/>
            <w:vAlign w:val="center"/>
          </w:tcPr>
          <w:p>
            <w:pPr>
              <w:jc w:val="center"/>
              <w:rPr>
                <w:rFonts w:hint="default" w:asciiTheme="minorHAnsi" w:hAnsiTheme="minorHAnsi"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会计学</w:t>
            </w:r>
          </w:p>
        </w:tc>
        <w:tc>
          <w:tcPr>
            <w:tcW w:w="1521" w:type="dxa"/>
            <w:gridSpan w:val="2"/>
            <w:vAlign w:val="center"/>
          </w:tcPr>
          <w:p>
            <w:pPr>
              <w:jc w:val="cente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 xml:space="preserve"> 是否破格</w:t>
            </w:r>
          </w:p>
        </w:tc>
        <w:tc>
          <w:tcPr>
            <w:tcW w:w="1614" w:type="dxa"/>
            <w:vAlign w:val="center"/>
          </w:tcPr>
          <w:p>
            <w:pPr>
              <w:jc w:val="center"/>
              <w:rPr>
                <w:rFonts w:hint="eastAsia"/>
                <w:vertAlign w:val="baseline"/>
                <w:lang w:eastAsia="zh-CN"/>
              </w:rPr>
            </w:pPr>
            <w:r>
              <w:rPr>
                <w:rFonts w:hint="eastAsia"/>
                <w:vertAlign w:val="baseline"/>
                <w:lang w:eastAsia="zh-CN"/>
              </w:rPr>
              <w:t>否</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continue"/>
            <w:vAlign w:val="center"/>
          </w:tcPr>
          <w:p>
            <w:pPr>
              <w:jc w:val="center"/>
              <w:rPr>
                <w:b/>
                <w:bCs/>
                <w:vertAlign w:val="baseline"/>
              </w:rPr>
            </w:pPr>
          </w:p>
        </w:tc>
        <w:tc>
          <w:tcPr>
            <w:tcW w:w="6540" w:type="dxa"/>
            <w:gridSpan w:val="7"/>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学习经历（从高中填起）</w:t>
            </w:r>
          </w:p>
        </w:tc>
        <w:tc>
          <w:tcPr>
            <w:tcW w:w="6690" w:type="dxa"/>
            <w:gridSpan w:val="7"/>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工作经历</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4" w:hRule="atLeast"/>
        </w:trPr>
        <w:tc>
          <w:tcPr>
            <w:tcW w:w="540" w:type="dxa"/>
            <w:vMerge w:val="continue"/>
            <w:vAlign w:val="center"/>
          </w:tcPr>
          <w:p>
            <w:pPr>
              <w:widowControl w:val="0"/>
              <w:jc w:val="both"/>
            </w:pPr>
          </w:p>
        </w:tc>
        <w:tc>
          <w:tcPr>
            <w:tcW w:w="6540" w:type="dxa"/>
            <w:gridSpan w:val="7"/>
            <w:vAlign w:val="center"/>
          </w:tcPr>
          <w:p>
            <w:pPr>
              <w:widowControl w:val="0"/>
              <w:numPr>
                <w:ilvl w:val="0"/>
                <w:numId w:val="0"/>
              </w:numPr>
              <w:jc w:val="both"/>
              <w:rPr>
                <w:rFonts w:hint="eastAsia"/>
                <w:vertAlign w:val="baseline"/>
                <w:lang w:val="en-US" w:eastAsia="zh-CN"/>
              </w:rPr>
            </w:pPr>
            <w:r>
              <w:rPr>
                <w:rFonts w:hint="eastAsia"/>
                <w:vertAlign w:val="baseline"/>
                <w:lang w:val="en-US" w:eastAsia="zh-CN"/>
              </w:rPr>
              <w:t>1995年7月，就读于吉首市第一中学，高中毕业；</w:t>
            </w:r>
          </w:p>
          <w:p>
            <w:pPr>
              <w:widowControl w:val="0"/>
              <w:numPr>
                <w:ilvl w:val="0"/>
                <w:numId w:val="0"/>
              </w:numPr>
              <w:jc w:val="both"/>
              <w:rPr>
                <w:rFonts w:hint="eastAsia"/>
                <w:vertAlign w:val="baseline"/>
                <w:lang w:val="en-US" w:eastAsia="zh-CN"/>
              </w:rPr>
            </w:pPr>
            <w:r>
              <w:rPr>
                <w:rFonts w:hint="eastAsia"/>
                <w:vertAlign w:val="baseline"/>
                <w:lang w:val="en-US" w:eastAsia="zh-CN"/>
              </w:rPr>
              <w:t>1997年7月，就读于湖南广播电视大学财务会计电算化专业，取得大专学历；</w:t>
            </w:r>
          </w:p>
          <w:p>
            <w:pPr>
              <w:widowControl w:val="0"/>
              <w:numPr>
                <w:ilvl w:val="0"/>
                <w:numId w:val="0"/>
              </w:numPr>
              <w:jc w:val="both"/>
              <w:rPr>
                <w:rFonts w:hint="default"/>
                <w:vertAlign w:val="baseline"/>
                <w:lang w:val="en-US" w:eastAsia="zh-CN"/>
              </w:rPr>
            </w:pPr>
            <w:r>
              <w:rPr>
                <w:rFonts w:hint="eastAsia"/>
                <w:vertAlign w:val="baseline"/>
                <w:lang w:val="en-US" w:eastAsia="zh-CN"/>
              </w:rPr>
              <w:t>2003年12月，就读于湖南大学会计专业，取得本科学历。</w:t>
            </w:r>
          </w:p>
        </w:tc>
        <w:tc>
          <w:tcPr>
            <w:tcW w:w="6690" w:type="dxa"/>
            <w:gridSpan w:val="7"/>
            <w:vAlign w:val="center"/>
          </w:tcPr>
          <w:p>
            <w:pPr>
              <w:ind w:left="1620" w:hanging="1890" w:hangingChars="900"/>
              <w:jc w:val="left"/>
              <w:rPr>
                <w:rFonts w:hint="eastAsia" w:ascii="宋体" w:hAnsi="宋体"/>
                <w:sz w:val="21"/>
                <w:szCs w:val="21"/>
              </w:rPr>
            </w:pPr>
            <w:r>
              <w:rPr>
                <w:rFonts w:hint="eastAsia" w:ascii="宋体" w:hAnsi="宋体"/>
                <w:sz w:val="21"/>
                <w:szCs w:val="21"/>
              </w:rPr>
              <w:t>1999</w:t>
            </w:r>
            <w:r>
              <w:rPr>
                <w:rFonts w:hint="eastAsia" w:ascii="宋体" w:hAnsi="宋体"/>
                <w:sz w:val="21"/>
                <w:szCs w:val="21"/>
                <w:lang w:eastAsia="zh-CN"/>
              </w:rPr>
              <w:t>年</w:t>
            </w:r>
            <w:r>
              <w:rPr>
                <w:rFonts w:hint="eastAsia" w:ascii="宋体" w:hAnsi="宋体"/>
                <w:sz w:val="21"/>
                <w:szCs w:val="21"/>
              </w:rPr>
              <w:t>12</w:t>
            </w:r>
            <w:r>
              <w:rPr>
                <w:rFonts w:hint="eastAsia" w:ascii="宋体" w:hAnsi="宋体"/>
                <w:sz w:val="21"/>
                <w:szCs w:val="21"/>
                <w:lang w:eastAsia="zh-CN"/>
              </w:rPr>
              <w:t>月至</w:t>
            </w:r>
            <w:r>
              <w:rPr>
                <w:rFonts w:hint="eastAsia" w:ascii="宋体" w:hAnsi="宋体"/>
                <w:sz w:val="21"/>
                <w:szCs w:val="21"/>
              </w:rPr>
              <w:t>2016</w:t>
            </w:r>
            <w:r>
              <w:rPr>
                <w:rFonts w:hint="eastAsia" w:ascii="宋体" w:hAnsi="宋体"/>
                <w:sz w:val="21"/>
                <w:szCs w:val="21"/>
                <w:lang w:eastAsia="zh-CN"/>
              </w:rPr>
              <w:t>年</w:t>
            </w:r>
            <w:r>
              <w:rPr>
                <w:rFonts w:hint="eastAsia" w:ascii="宋体" w:hAnsi="宋体"/>
                <w:sz w:val="21"/>
                <w:szCs w:val="21"/>
              </w:rPr>
              <w:t>2</w:t>
            </w:r>
            <w:r>
              <w:rPr>
                <w:rFonts w:hint="eastAsia" w:ascii="宋体" w:hAnsi="宋体"/>
                <w:sz w:val="21"/>
                <w:szCs w:val="21"/>
                <w:lang w:eastAsia="zh-CN"/>
              </w:rPr>
              <w:t>月，</w:t>
            </w:r>
            <w:r>
              <w:rPr>
                <w:rFonts w:hint="eastAsia" w:ascii="宋体" w:hAnsi="宋体"/>
                <w:sz w:val="21"/>
                <w:szCs w:val="21"/>
              </w:rPr>
              <w:t>湘西自治州电大</w:t>
            </w:r>
            <w:r>
              <w:rPr>
                <w:rFonts w:hint="eastAsia" w:ascii="宋体" w:hAnsi="宋体"/>
                <w:sz w:val="21"/>
                <w:szCs w:val="21"/>
                <w:lang w:eastAsia="zh-CN"/>
              </w:rPr>
              <w:t>，</w:t>
            </w:r>
            <w:r>
              <w:rPr>
                <w:rFonts w:hint="eastAsia" w:ascii="宋体" w:hAnsi="宋体"/>
                <w:sz w:val="21"/>
                <w:szCs w:val="21"/>
              </w:rPr>
              <w:t>会计专业教师，</w:t>
            </w:r>
            <w:r>
              <w:rPr>
                <w:rFonts w:hint="eastAsia" w:ascii="宋体" w:hAnsi="宋体"/>
                <w:sz w:val="21"/>
                <w:szCs w:val="21"/>
                <w:lang w:eastAsia="zh-CN"/>
              </w:rPr>
              <w:t>校</w:t>
            </w:r>
            <w:r>
              <w:rPr>
                <w:rFonts w:hint="eastAsia" w:ascii="宋体" w:hAnsi="宋体"/>
                <w:sz w:val="21"/>
                <w:szCs w:val="21"/>
              </w:rPr>
              <w:t>团委、</w:t>
            </w:r>
          </w:p>
          <w:p>
            <w:pPr>
              <w:ind w:left="1620" w:hanging="1890" w:hangingChars="900"/>
              <w:jc w:val="left"/>
              <w:rPr>
                <w:rFonts w:hint="eastAsia" w:ascii="宋体" w:hAnsi="宋体"/>
                <w:sz w:val="21"/>
                <w:szCs w:val="21"/>
                <w:lang w:eastAsia="zh-CN"/>
              </w:rPr>
            </w:pPr>
            <w:r>
              <w:rPr>
                <w:rFonts w:hint="eastAsia" w:ascii="宋体" w:hAnsi="宋体"/>
                <w:sz w:val="21"/>
                <w:szCs w:val="21"/>
              </w:rPr>
              <w:t>学生科工作，</w:t>
            </w:r>
            <w:r>
              <w:rPr>
                <w:rFonts w:hint="eastAsia" w:ascii="宋体" w:hAnsi="宋体"/>
                <w:sz w:val="21"/>
                <w:szCs w:val="21"/>
                <w:lang w:eastAsia="zh-CN"/>
              </w:rPr>
              <w:t>历任班主任、辅导员、学生干事、校团委副书记、学生科</w:t>
            </w:r>
          </w:p>
          <w:p>
            <w:pPr>
              <w:ind w:left="1620" w:hanging="1890" w:hangingChars="900"/>
              <w:jc w:val="left"/>
              <w:rPr>
                <w:rFonts w:ascii="宋体" w:hAnsi="宋体"/>
                <w:sz w:val="21"/>
                <w:szCs w:val="21"/>
              </w:rPr>
            </w:pPr>
            <w:r>
              <w:rPr>
                <w:rFonts w:hint="eastAsia" w:ascii="宋体" w:hAnsi="宋体"/>
                <w:sz w:val="21"/>
                <w:szCs w:val="21"/>
                <w:lang w:eastAsia="zh-CN"/>
              </w:rPr>
              <w:t>科长，从事会计专业教学、学生管理</w:t>
            </w:r>
            <w:r>
              <w:rPr>
                <w:rFonts w:hint="eastAsia" w:ascii="宋体" w:hAnsi="宋体"/>
                <w:sz w:val="21"/>
                <w:szCs w:val="21"/>
              </w:rPr>
              <w:t>。</w:t>
            </w:r>
          </w:p>
          <w:p>
            <w:pPr>
              <w:ind w:left="1620" w:hanging="1890" w:hangingChars="900"/>
              <w:jc w:val="left"/>
              <w:rPr>
                <w:rFonts w:hint="eastAsia" w:ascii="宋体" w:hAnsi="宋体"/>
                <w:sz w:val="21"/>
                <w:szCs w:val="21"/>
              </w:rPr>
            </w:pPr>
            <w:r>
              <w:rPr>
                <w:rFonts w:hint="eastAsia" w:ascii="宋体" w:hAnsi="宋体"/>
                <w:sz w:val="21"/>
                <w:szCs w:val="21"/>
              </w:rPr>
              <w:t>2016</w:t>
            </w:r>
            <w:r>
              <w:rPr>
                <w:rFonts w:hint="eastAsia" w:ascii="宋体" w:hAnsi="宋体"/>
                <w:sz w:val="21"/>
                <w:szCs w:val="21"/>
                <w:lang w:eastAsia="zh-CN"/>
              </w:rPr>
              <w:t>年</w:t>
            </w:r>
            <w:r>
              <w:rPr>
                <w:rFonts w:hint="eastAsia" w:ascii="宋体" w:hAnsi="宋体"/>
                <w:sz w:val="21"/>
                <w:szCs w:val="21"/>
              </w:rPr>
              <w:t>3</w:t>
            </w:r>
            <w:r>
              <w:rPr>
                <w:rFonts w:hint="eastAsia" w:ascii="宋体" w:hAnsi="宋体"/>
                <w:sz w:val="21"/>
                <w:szCs w:val="21"/>
                <w:lang w:eastAsia="zh-CN"/>
              </w:rPr>
              <w:t>月</w:t>
            </w:r>
            <w:r>
              <w:rPr>
                <w:rFonts w:hint="eastAsia" w:ascii="宋体" w:hAnsi="宋体"/>
                <w:sz w:val="21"/>
                <w:szCs w:val="21"/>
              </w:rPr>
              <w:t>至今</w:t>
            </w:r>
            <w:r>
              <w:rPr>
                <w:rFonts w:hint="eastAsia" w:ascii="宋体" w:hAnsi="宋体"/>
                <w:sz w:val="21"/>
                <w:szCs w:val="21"/>
                <w:lang w:eastAsia="zh-CN"/>
              </w:rPr>
              <w:t>，湘西开放大学（湘西自治州电大），</w:t>
            </w:r>
            <w:r>
              <w:rPr>
                <w:rFonts w:hint="eastAsia" w:ascii="宋体" w:hAnsi="宋体"/>
                <w:sz w:val="21"/>
                <w:szCs w:val="21"/>
              </w:rPr>
              <w:t>会计专业教师，</w:t>
            </w:r>
          </w:p>
          <w:p>
            <w:pPr>
              <w:ind w:left="1620" w:hanging="1890" w:hangingChars="900"/>
              <w:jc w:val="left"/>
              <w:rPr>
                <w:rFonts w:hint="eastAsia" w:ascii="宋体" w:hAnsi="宋体"/>
                <w:sz w:val="21"/>
                <w:szCs w:val="21"/>
                <w:lang w:eastAsia="zh-CN"/>
              </w:rPr>
            </w:pPr>
            <w:r>
              <w:rPr>
                <w:rFonts w:hint="eastAsia" w:ascii="宋体" w:hAnsi="宋体"/>
                <w:sz w:val="21"/>
                <w:szCs w:val="21"/>
              </w:rPr>
              <w:t>计划财务处工作，</w:t>
            </w:r>
            <w:r>
              <w:rPr>
                <w:rFonts w:hint="eastAsia" w:ascii="宋体" w:hAnsi="宋体"/>
                <w:sz w:val="21"/>
                <w:szCs w:val="21"/>
                <w:lang w:eastAsia="zh-CN"/>
              </w:rPr>
              <w:t>任会计、计划财务处处长，从事会计专业教学、会</w:t>
            </w:r>
          </w:p>
          <w:p>
            <w:pPr>
              <w:ind w:left="1620" w:hanging="1890" w:hangingChars="900"/>
              <w:jc w:val="left"/>
              <w:rPr>
                <w:rFonts w:hint="default"/>
                <w:vertAlign w:val="baseline"/>
                <w:lang w:val="en-US" w:eastAsia="zh-CN"/>
              </w:rPr>
            </w:pPr>
            <w:r>
              <w:rPr>
                <w:rFonts w:hint="eastAsia" w:ascii="宋体" w:hAnsi="宋体"/>
                <w:sz w:val="21"/>
                <w:szCs w:val="21"/>
                <w:lang w:eastAsia="zh-CN"/>
              </w:rPr>
              <w:t>计及财务管理。</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pPr>
          </w:p>
        </w:tc>
        <w:tc>
          <w:tcPr>
            <w:tcW w:w="1635" w:type="dxa"/>
            <w:gridSpan w:val="2"/>
            <w:vAlign w:val="center"/>
          </w:tcPr>
          <w:p>
            <w:pPr>
              <w:widowControl w:val="0"/>
              <w:numPr>
                <w:ilvl w:val="0"/>
                <w:numId w:val="0"/>
              </w:numPr>
              <w:jc w:val="center"/>
              <w:rPr>
                <w:rFonts w:hint="default"/>
                <w:lang w:val="en-US" w:eastAsia="zh-CN"/>
              </w:rPr>
            </w:pPr>
            <w:r>
              <w:rPr>
                <w:rFonts w:hint="eastAsia"/>
                <w:lang w:val="en-US" w:eastAsia="zh-CN"/>
              </w:rPr>
              <w:t>最高学历</w:t>
            </w:r>
          </w:p>
        </w:tc>
        <w:tc>
          <w:tcPr>
            <w:tcW w:w="1635" w:type="dxa"/>
            <w:gridSpan w:val="2"/>
            <w:vAlign w:val="center"/>
          </w:tcPr>
          <w:p>
            <w:pPr>
              <w:widowControl w:val="0"/>
              <w:numPr>
                <w:ilvl w:val="0"/>
                <w:numId w:val="0"/>
              </w:numPr>
              <w:jc w:val="center"/>
              <w:rPr>
                <w:rFonts w:hint="eastAsia" w:eastAsiaTheme="minorEastAsia"/>
                <w:lang w:eastAsia="zh-CN"/>
              </w:rPr>
            </w:pPr>
            <w:r>
              <w:rPr>
                <w:rFonts w:hint="eastAsia"/>
                <w:lang w:eastAsia="zh-CN"/>
              </w:rPr>
              <w:t>本科</w:t>
            </w:r>
          </w:p>
        </w:tc>
        <w:tc>
          <w:tcPr>
            <w:tcW w:w="1635" w:type="dxa"/>
            <w:gridSpan w:val="2"/>
            <w:vAlign w:val="center"/>
          </w:tcPr>
          <w:p>
            <w:pPr>
              <w:widowControl w:val="0"/>
              <w:numPr>
                <w:ilvl w:val="0"/>
                <w:numId w:val="0"/>
              </w:numPr>
              <w:jc w:val="center"/>
              <w:rPr>
                <w:rFonts w:hint="default"/>
                <w:lang w:val="en-US" w:eastAsia="zh-CN"/>
              </w:rPr>
            </w:pPr>
            <w:r>
              <w:rPr>
                <w:rFonts w:hint="eastAsia"/>
                <w:lang w:val="en-US" w:eastAsia="zh-CN"/>
              </w:rPr>
              <w:t>最高学位</w:t>
            </w:r>
          </w:p>
        </w:tc>
        <w:tc>
          <w:tcPr>
            <w:tcW w:w="1635" w:type="dxa"/>
            <w:vAlign w:val="center"/>
          </w:tcPr>
          <w:p>
            <w:pPr>
              <w:widowControl w:val="0"/>
              <w:numPr>
                <w:ilvl w:val="0"/>
                <w:numId w:val="0"/>
              </w:numPr>
              <w:jc w:val="center"/>
              <w:rPr>
                <w:rFonts w:hint="default"/>
                <w:vertAlign w:val="baseline"/>
                <w:lang w:val="en-US" w:eastAsia="zh-CN"/>
              </w:rPr>
            </w:pPr>
            <w:r>
              <w:rPr>
                <w:rFonts w:hint="eastAsia"/>
                <w:vertAlign w:val="baseline"/>
                <w:lang w:val="en-US" w:eastAsia="zh-CN"/>
              </w:rPr>
              <w:t>无</w:t>
            </w:r>
          </w:p>
        </w:tc>
        <w:tc>
          <w:tcPr>
            <w:tcW w:w="1672" w:type="dxa"/>
            <w:gridSpan w:val="2"/>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lang w:val="en-US" w:eastAsia="zh-CN"/>
              </w:rPr>
              <w:t>外语水平</w:t>
            </w:r>
          </w:p>
        </w:tc>
        <w:tc>
          <w:tcPr>
            <w:tcW w:w="1672" w:type="dxa"/>
            <w:vAlign w:val="center"/>
          </w:tcPr>
          <w:p>
            <w:pPr>
              <w:widowControl w:val="0"/>
              <w:numPr>
                <w:ilvl w:val="0"/>
                <w:numId w:val="0"/>
              </w:numPr>
              <w:ind w:left="0" w:leftChars="0" w:firstLine="0" w:firstLineChars="0"/>
              <w:jc w:val="center"/>
              <w:rPr>
                <w:rFonts w:hint="default" w:eastAsiaTheme="minorEastAsia"/>
                <w:vertAlign w:val="baseline"/>
                <w:lang w:val="en-US" w:eastAsia="zh-CN"/>
              </w:rPr>
            </w:pPr>
            <w:r>
              <w:rPr>
                <w:rFonts w:hint="eastAsia"/>
                <w:szCs w:val="21"/>
              </w:rPr>
              <w:t>英语综合B级</w:t>
            </w:r>
            <w:r>
              <w:rPr>
                <w:rFonts w:hint="eastAsia"/>
                <w:szCs w:val="21"/>
                <w:lang w:val="en-US" w:eastAsia="zh-CN"/>
              </w:rPr>
              <w:t>94</w:t>
            </w:r>
          </w:p>
        </w:tc>
        <w:tc>
          <w:tcPr>
            <w:tcW w:w="1672" w:type="dxa"/>
            <w:gridSpan w:val="2"/>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lang w:val="en-US" w:eastAsia="zh-CN"/>
              </w:rPr>
              <w:t>计算机水平</w:t>
            </w:r>
          </w:p>
        </w:tc>
        <w:tc>
          <w:tcPr>
            <w:tcW w:w="1674" w:type="dxa"/>
            <w:gridSpan w:val="2"/>
            <w:vAlign w:val="center"/>
          </w:tcPr>
          <w:p>
            <w:pPr>
              <w:widowControl w:val="0"/>
              <w:jc w:val="center"/>
              <w:rPr>
                <w:rFonts w:hint="default"/>
                <w:vertAlign w:val="baseline"/>
                <w:lang w:val="en-US" w:eastAsia="zh-CN"/>
              </w:rPr>
            </w:pPr>
            <w:r>
              <w:rPr>
                <w:rFonts w:hint="eastAsia"/>
                <w:szCs w:val="21"/>
              </w:rPr>
              <w:t>合格</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pPr>
          </w:p>
        </w:tc>
        <w:tc>
          <w:tcPr>
            <w:tcW w:w="1635" w:type="dxa"/>
            <w:gridSpan w:val="2"/>
            <w:vMerge w:val="restart"/>
            <w:vAlign w:val="center"/>
          </w:tcPr>
          <w:p>
            <w:pPr>
              <w:widowControl w:val="0"/>
              <w:numPr>
                <w:ilvl w:val="0"/>
                <w:numId w:val="0"/>
              </w:numPr>
              <w:jc w:val="center"/>
              <w:rPr>
                <w:rFonts w:hint="default"/>
                <w:lang w:val="en-US" w:eastAsia="zh-CN"/>
              </w:rPr>
            </w:pPr>
            <w:r>
              <w:rPr>
                <w:rFonts w:hint="eastAsia"/>
                <w:lang w:val="en-US" w:eastAsia="zh-CN"/>
              </w:rPr>
              <w:t>近五年继续教育情况</w:t>
            </w:r>
          </w:p>
        </w:tc>
        <w:tc>
          <w:tcPr>
            <w:tcW w:w="1635" w:type="dxa"/>
            <w:gridSpan w:val="2"/>
            <w:vAlign w:val="center"/>
          </w:tcPr>
          <w:p>
            <w:pPr>
              <w:widowControl w:val="0"/>
              <w:numPr>
                <w:ilvl w:val="0"/>
                <w:numId w:val="0"/>
              </w:numPr>
              <w:jc w:val="right"/>
              <w:rPr>
                <w:rFonts w:hint="eastAsia" w:eastAsiaTheme="minorEastAsia"/>
                <w:lang w:val="en-US" w:eastAsia="zh-CN"/>
              </w:rPr>
            </w:pPr>
            <w:r>
              <w:rPr>
                <w:rFonts w:hint="eastAsia"/>
                <w:lang w:val="en-US" w:eastAsia="zh-CN"/>
              </w:rPr>
              <w:t>2018年度</w:t>
            </w:r>
          </w:p>
        </w:tc>
        <w:tc>
          <w:tcPr>
            <w:tcW w:w="1635" w:type="dxa"/>
            <w:gridSpan w:val="2"/>
            <w:vAlign w:val="center"/>
          </w:tcPr>
          <w:p>
            <w:pPr>
              <w:widowControl w:val="0"/>
              <w:numPr>
                <w:ilvl w:val="0"/>
                <w:numId w:val="0"/>
              </w:numPr>
              <w:jc w:val="right"/>
              <w:rPr>
                <w:rFonts w:hint="default"/>
                <w:lang w:val="en-US" w:eastAsia="zh-CN"/>
              </w:rPr>
            </w:pPr>
            <w:r>
              <w:rPr>
                <w:rFonts w:hint="eastAsia"/>
                <w:lang w:val="en-US" w:eastAsia="zh-CN"/>
              </w:rPr>
              <w:t>2019年度</w:t>
            </w:r>
          </w:p>
        </w:tc>
        <w:tc>
          <w:tcPr>
            <w:tcW w:w="1635" w:type="dxa"/>
            <w:vAlign w:val="center"/>
          </w:tcPr>
          <w:p>
            <w:pPr>
              <w:widowControl w:val="0"/>
              <w:numPr>
                <w:ilvl w:val="0"/>
                <w:numId w:val="0"/>
              </w:numPr>
              <w:jc w:val="right"/>
              <w:rPr>
                <w:rFonts w:hint="default"/>
                <w:vertAlign w:val="baseline"/>
                <w:lang w:val="en-US" w:eastAsia="zh-CN"/>
              </w:rPr>
            </w:pPr>
            <w:r>
              <w:rPr>
                <w:rFonts w:hint="eastAsia"/>
                <w:lang w:val="en-US" w:eastAsia="zh-CN"/>
              </w:rPr>
              <w:t>2020年度</w:t>
            </w:r>
          </w:p>
        </w:tc>
        <w:tc>
          <w:tcPr>
            <w:tcW w:w="1672" w:type="dxa"/>
            <w:gridSpan w:val="2"/>
            <w:vAlign w:val="center"/>
          </w:tcPr>
          <w:p>
            <w:pPr>
              <w:widowControl w:val="0"/>
              <w:numPr>
                <w:ilvl w:val="0"/>
                <w:numId w:val="0"/>
              </w:numPr>
              <w:ind w:left="0" w:leftChars="0" w:firstLine="0" w:firstLineChars="0"/>
              <w:jc w:val="right"/>
              <w:rPr>
                <w:rFonts w:hint="eastAsia"/>
                <w:lang w:val="en-US" w:eastAsia="zh-CN"/>
              </w:rPr>
            </w:pPr>
            <w:r>
              <w:rPr>
                <w:rFonts w:hint="eastAsia"/>
                <w:lang w:val="en-US" w:eastAsia="zh-CN"/>
              </w:rPr>
              <w:t>2021年度</w:t>
            </w:r>
          </w:p>
        </w:tc>
        <w:tc>
          <w:tcPr>
            <w:tcW w:w="1672" w:type="dxa"/>
            <w:vAlign w:val="center"/>
          </w:tcPr>
          <w:p>
            <w:pPr>
              <w:widowControl w:val="0"/>
              <w:numPr>
                <w:ilvl w:val="0"/>
                <w:numId w:val="0"/>
              </w:numPr>
              <w:ind w:left="0" w:leftChars="0" w:firstLine="0" w:firstLineChars="0"/>
              <w:jc w:val="right"/>
              <w:rPr>
                <w:rFonts w:hint="default"/>
                <w:vertAlign w:val="baseline"/>
                <w:lang w:val="en-US" w:eastAsia="zh-CN"/>
              </w:rPr>
            </w:pPr>
            <w:r>
              <w:rPr>
                <w:rFonts w:hint="eastAsia"/>
                <w:lang w:val="en-US" w:eastAsia="zh-CN"/>
              </w:rPr>
              <w:t>2022年度</w:t>
            </w:r>
          </w:p>
        </w:tc>
        <w:tc>
          <w:tcPr>
            <w:tcW w:w="3346" w:type="dxa"/>
            <w:gridSpan w:val="4"/>
            <w:vAlign w:val="center"/>
          </w:tcPr>
          <w:p>
            <w:pPr>
              <w:widowControl w:val="0"/>
              <w:jc w:val="center"/>
              <w:rPr>
                <w:rFonts w:hint="default"/>
                <w:vertAlign w:val="baseline"/>
                <w:lang w:val="en-US" w:eastAsia="zh-CN"/>
              </w:rPr>
            </w:pPr>
            <w:r>
              <w:rPr>
                <w:rFonts w:hint="eastAsia"/>
                <w:vertAlign w:val="baseline"/>
                <w:lang w:val="en-US" w:eastAsia="zh-CN"/>
              </w:rPr>
              <w:t>继续教育合格证书编号</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pPr>
          </w:p>
        </w:tc>
        <w:tc>
          <w:tcPr>
            <w:tcW w:w="1635" w:type="dxa"/>
            <w:gridSpan w:val="2"/>
            <w:vMerge w:val="continue"/>
            <w:vAlign w:val="center"/>
          </w:tcPr>
          <w:p>
            <w:pPr>
              <w:widowControl w:val="0"/>
              <w:numPr>
                <w:ilvl w:val="0"/>
                <w:numId w:val="0"/>
              </w:numPr>
              <w:jc w:val="both"/>
              <w:rPr>
                <w:rFonts w:hint="eastAsia"/>
                <w:lang w:val="en-US" w:eastAsia="zh-CN"/>
              </w:rPr>
            </w:pPr>
          </w:p>
        </w:tc>
        <w:tc>
          <w:tcPr>
            <w:tcW w:w="1635" w:type="dxa"/>
            <w:gridSpan w:val="2"/>
            <w:vAlign w:val="center"/>
          </w:tcPr>
          <w:p>
            <w:pPr>
              <w:widowControl w:val="0"/>
              <w:numPr>
                <w:ilvl w:val="0"/>
                <w:numId w:val="0"/>
              </w:numPr>
              <w:jc w:val="center"/>
              <w:rPr>
                <w:rFonts w:hint="eastAsia" w:eastAsiaTheme="minorEastAsia"/>
                <w:lang w:eastAsia="zh-CN"/>
              </w:rPr>
            </w:pPr>
            <w:r>
              <w:rPr>
                <w:rFonts w:hint="eastAsia"/>
                <w:lang w:eastAsia="zh-CN"/>
              </w:rPr>
              <w:t>合格</w:t>
            </w:r>
          </w:p>
        </w:tc>
        <w:tc>
          <w:tcPr>
            <w:tcW w:w="1635" w:type="dxa"/>
            <w:gridSpan w:val="2"/>
            <w:vAlign w:val="center"/>
          </w:tcPr>
          <w:p>
            <w:pPr>
              <w:widowControl w:val="0"/>
              <w:numPr>
                <w:ilvl w:val="0"/>
                <w:numId w:val="0"/>
              </w:numPr>
              <w:jc w:val="center"/>
              <w:rPr>
                <w:rFonts w:hint="default"/>
                <w:lang w:val="en-US" w:eastAsia="zh-CN"/>
              </w:rPr>
            </w:pPr>
            <w:r>
              <w:rPr>
                <w:rFonts w:hint="eastAsia"/>
                <w:lang w:val="en-US" w:eastAsia="zh-CN"/>
              </w:rPr>
              <w:t>合格</w:t>
            </w:r>
          </w:p>
        </w:tc>
        <w:tc>
          <w:tcPr>
            <w:tcW w:w="1635" w:type="dxa"/>
            <w:vAlign w:val="center"/>
          </w:tcPr>
          <w:p>
            <w:pPr>
              <w:widowControl w:val="0"/>
              <w:numPr>
                <w:ilvl w:val="0"/>
                <w:numId w:val="0"/>
              </w:numPr>
              <w:jc w:val="center"/>
              <w:rPr>
                <w:rFonts w:hint="default"/>
                <w:vertAlign w:val="baseline"/>
                <w:lang w:val="en-US" w:eastAsia="zh-CN"/>
              </w:rPr>
            </w:pPr>
            <w:r>
              <w:rPr>
                <w:rFonts w:hint="eastAsia"/>
                <w:lang w:val="en-US" w:eastAsia="zh-CN"/>
              </w:rPr>
              <w:t>合格</w:t>
            </w:r>
          </w:p>
        </w:tc>
        <w:tc>
          <w:tcPr>
            <w:tcW w:w="1672" w:type="dxa"/>
            <w:gridSpan w:val="2"/>
            <w:vAlign w:val="center"/>
          </w:tcPr>
          <w:p>
            <w:pPr>
              <w:widowControl w:val="0"/>
              <w:numPr>
                <w:ilvl w:val="0"/>
                <w:numId w:val="0"/>
              </w:numPr>
              <w:ind w:left="0" w:leftChars="0" w:firstLine="0" w:firstLineChars="0"/>
              <w:jc w:val="center"/>
              <w:rPr>
                <w:rFonts w:hint="eastAsia"/>
                <w:lang w:val="en-US" w:eastAsia="zh-CN"/>
              </w:rPr>
            </w:pPr>
            <w:r>
              <w:rPr>
                <w:rFonts w:hint="eastAsia"/>
                <w:lang w:val="en-US" w:eastAsia="zh-CN"/>
              </w:rPr>
              <w:t>合格</w:t>
            </w:r>
          </w:p>
        </w:tc>
        <w:tc>
          <w:tcPr>
            <w:tcW w:w="1672" w:type="dxa"/>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lang w:val="en-US" w:eastAsia="zh-CN"/>
              </w:rPr>
              <w:t>合格</w:t>
            </w:r>
          </w:p>
        </w:tc>
        <w:tc>
          <w:tcPr>
            <w:tcW w:w="3346" w:type="dxa"/>
            <w:gridSpan w:val="4"/>
            <w:vAlign w:val="center"/>
          </w:tcPr>
          <w:p>
            <w:pPr>
              <w:widowControl w:val="0"/>
              <w:jc w:val="center"/>
              <w:rPr>
                <w:rFonts w:hint="default"/>
                <w:vertAlign w:val="baseline"/>
                <w:lang w:val="en-US" w:eastAsia="zh-CN"/>
              </w:rPr>
            </w:pPr>
            <w:r>
              <w:rPr>
                <w:rFonts w:hint="eastAsia" w:ascii="宋体" w:hAnsi="宋体"/>
                <w:sz w:val="21"/>
                <w:szCs w:val="21"/>
              </w:rPr>
              <w:t>（202</w:t>
            </w:r>
            <w:r>
              <w:rPr>
                <w:rFonts w:hint="eastAsia" w:ascii="宋体" w:hAnsi="宋体"/>
                <w:sz w:val="21"/>
                <w:szCs w:val="21"/>
                <w:lang w:val="en-US" w:eastAsia="zh-CN"/>
              </w:rPr>
              <w:t>3</w:t>
            </w:r>
            <w:r>
              <w:rPr>
                <w:rFonts w:hint="eastAsia" w:ascii="宋体" w:hAnsi="宋体"/>
                <w:sz w:val="21"/>
                <w:szCs w:val="21"/>
              </w:rPr>
              <w:t>）00</w:t>
            </w:r>
            <w:r>
              <w:rPr>
                <w:rFonts w:hint="eastAsia" w:ascii="宋体" w:hAnsi="宋体"/>
                <w:sz w:val="21"/>
                <w:szCs w:val="21"/>
                <w:lang w:val="en-US" w:eastAsia="zh-CN"/>
              </w:rPr>
              <w:t>34452</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pPr>
          </w:p>
        </w:tc>
        <w:tc>
          <w:tcPr>
            <w:tcW w:w="1635" w:type="dxa"/>
            <w:gridSpan w:val="2"/>
            <w:vMerge w:val="restart"/>
            <w:vAlign w:val="center"/>
          </w:tcPr>
          <w:p>
            <w:pPr>
              <w:widowControl w:val="0"/>
              <w:numPr>
                <w:ilvl w:val="0"/>
                <w:numId w:val="0"/>
              </w:numPr>
              <w:jc w:val="center"/>
              <w:rPr>
                <w:rFonts w:hint="default"/>
                <w:lang w:val="en-US" w:eastAsia="zh-CN"/>
              </w:rPr>
            </w:pPr>
            <w:r>
              <w:rPr>
                <w:rFonts w:hint="eastAsia"/>
                <w:lang w:val="en-US" w:eastAsia="zh-CN"/>
              </w:rPr>
              <w:t>近五年年度考核</w:t>
            </w:r>
          </w:p>
        </w:tc>
        <w:tc>
          <w:tcPr>
            <w:tcW w:w="1635" w:type="dxa"/>
            <w:gridSpan w:val="2"/>
            <w:vAlign w:val="center"/>
          </w:tcPr>
          <w:p>
            <w:pPr>
              <w:widowControl w:val="0"/>
              <w:numPr>
                <w:ilvl w:val="0"/>
                <w:numId w:val="0"/>
              </w:numPr>
              <w:ind w:left="0" w:leftChars="0" w:firstLine="0" w:firstLineChars="0"/>
              <w:jc w:val="right"/>
              <w:rPr>
                <w:rFonts w:hint="eastAsia" w:asciiTheme="minorHAnsi" w:hAnsiTheme="minorHAnsi" w:eastAsiaTheme="minorEastAsia" w:cstheme="minorBidi"/>
                <w:kern w:val="2"/>
                <w:sz w:val="21"/>
                <w:szCs w:val="24"/>
                <w:lang w:val="en-US" w:eastAsia="zh-CN" w:bidi="ar-SA"/>
              </w:rPr>
            </w:pPr>
            <w:r>
              <w:rPr>
                <w:rFonts w:hint="eastAsia"/>
                <w:lang w:val="en-US" w:eastAsia="zh-CN"/>
              </w:rPr>
              <w:t>2018年度</w:t>
            </w:r>
          </w:p>
        </w:tc>
        <w:tc>
          <w:tcPr>
            <w:tcW w:w="1635" w:type="dxa"/>
            <w:gridSpan w:val="2"/>
            <w:vAlign w:val="center"/>
          </w:tcPr>
          <w:p>
            <w:pPr>
              <w:widowControl w:val="0"/>
              <w:numPr>
                <w:ilvl w:val="0"/>
                <w:numId w:val="0"/>
              </w:numPr>
              <w:ind w:left="0" w:leftChars="0" w:firstLine="0" w:firstLineChars="0"/>
              <w:jc w:val="right"/>
              <w:rPr>
                <w:rFonts w:hint="default" w:asciiTheme="minorHAnsi" w:hAnsiTheme="minorHAnsi" w:eastAsiaTheme="minorEastAsia" w:cstheme="minorBidi"/>
                <w:kern w:val="2"/>
                <w:sz w:val="21"/>
                <w:szCs w:val="24"/>
                <w:lang w:val="en-US" w:eastAsia="zh-CN" w:bidi="ar-SA"/>
              </w:rPr>
            </w:pPr>
            <w:r>
              <w:rPr>
                <w:rFonts w:hint="eastAsia"/>
                <w:lang w:val="en-US" w:eastAsia="zh-CN"/>
              </w:rPr>
              <w:t>2019年度</w:t>
            </w:r>
          </w:p>
        </w:tc>
        <w:tc>
          <w:tcPr>
            <w:tcW w:w="1635" w:type="dxa"/>
            <w:vAlign w:val="center"/>
          </w:tcPr>
          <w:p>
            <w:pPr>
              <w:widowControl w:val="0"/>
              <w:numPr>
                <w:ilvl w:val="0"/>
                <w:numId w:val="0"/>
              </w:numPr>
              <w:ind w:left="0" w:leftChars="0" w:firstLine="0" w:firstLineChars="0"/>
              <w:jc w:val="right"/>
              <w:rPr>
                <w:rFonts w:hint="default" w:asciiTheme="minorHAnsi" w:hAnsiTheme="minorHAnsi" w:eastAsiaTheme="minorEastAsia" w:cstheme="minorBidi"/>
                <w:kern w:val="2"/>
                <w:sz w:val="21"/>
                <w:szCs w:val="24"/>
                <w:vertAlign w:val="baseline"/>
                <w:lang w:val="en-US" w:eastAsia="zh-CN" w:bidi="ar-SA"/>
              </w:rPr>
            </w:pPr>
            <w:r>
              <w:rPr>
                <w:rFonts w:hint="eastAsia"/>
                <w:lang w:val="en-US" w:eastAsia="zh-CN"/>
              </w:rPr>
              <w:t>2020年度</w:t>
            </w:r>
          </w:p>
        </w:tc>
        <w:tc>
          <w:tcPr>
            <w:tcW w:w="1672" w:type="dxa"/>
            <w:gridSpan w:val="2"/>
            <w:vAlign w:val="center"/>
          </w:tcPr>
          <w:p>
            <w:pPr>
              <w:widowControl w:val="0"/>
              <w:numPr>
                <w:ilvl w:val="0"/>
                <w:numId w:val="0"/>
              </w:numPr>
              <w:ind w:left="0" w:leftChars="0" w:firstLine="0" w:firstLineChars="0"/>
              <w:jc w:val="right"/>
              <w:rPr>
                <w:rFonts w:hint="eastAsia" w:asciiTheme="minorHAnsi" w:hAnsiTheme="minorHAnsi" w:eastAsiaTheme="minorEastAsia" w:cstheme="minorBidi"/>
                <w:kern w:val="2"/>
                <w:sz w:val="21"/>
                <w:szCs w:val="24"/>
                <w:lang w:val="en-US" w:eastAsia="zh-CN" w:bidi="ar-SA"/>
              </w:rPr>
            </w:pPr>
            <w:r>
              <w:rPr>
                <w:rFonts w:hint="eastAsia"/>
                <w:lang w:val="en-US" w:eastAsia="zh-CN"/>
              </w:rPr>
              <w:t>2021年度</w:t>
            </w:r>
          </w:p>
        </w:tc>
        <w:tc>
          <w:tcPr>
            <w:tcW w:w="1672" w:type="dxa"/>
            <w:vAlign w:val="center"/>
          </w:tcPr>
          <w:p>
            <w:pPr>
              <w:widowControl w:val="0"/>
              <w:numPr>
                <w:ilvl w:val="0"/>
                <w:numId w:val="0"/>
              </w:numPr>
              <w:ind w:left="0" w:leftChars="0" w:firstLine="0" w:firstLineChars="0"/>
              <w:jc w:val="right"/>
              <w:rPr>
                <w:rFonts w:hint="default" w:asciiTheme="minorHAnsi" w:hAnsiTheme="minorHAnsi" w:eastAsiaTheme="minorEastAsia" w:cstheme="minorBidi"/>
                <w:kern w:val="2"/>
                <w:sz w:val="21"/>
                <w:szCs w:val="24"/>
                <w:vertAlign w:val="baseline"/>
                <w:lang w:val="en-US" w:eastAsia="zh-CN" w:bidi="ar-SA"/>
              </w:rPr>
            </w:pPr>
            <w:r>
              <w:rPr>
                <w:rFonts w:hint="eastAsia"/>
                <w:lang w:val="en-US" w:eastAsia="zh-CN"/>
              </w:rPr>
              <w:t>2022年度</w:t>
            </w:r>
          </w:p>
        </w:tc>
        <w:tc>
          <w:tcPr>
            <w:tcW w:w="3346" w:type="dxa"/>
            <w:gridSpan w:val="4"/>
            <w:vAlign w:val="center"/>
          </w:tcPr>
          <w:p>
            <w:pPr>
              <w:widowControl w:val="0"/>
              <w:jc w:val="center"/>
              <w:rPr>
                <w:rFonts w:hint="default"/>
                <w:vertAlign w:val="baseline"/>
                <w:lang w:val="en-US" w:eastAsia="zh-CN"/>
              </w:rPr>
            </w:pPr>
            <w:r>
              <w:rPr>
                <w:rFonts w:hint="eastAsia"/>
                <w:vertAlign w:val="baseline"/>
                <w:lang w:val="en-US" w:eastAsia="zh-CN"/>
              </w:rPr>
              <w:t>其他年度考核优秀等次情况</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pPr>
          </w:p>
        </w:tc>
        <w:tc>
          <w:tcPr>
            <w:tcW w:w="1635" w:type="dxa"/>
            <w:gridSpan w:val="2"/>
            <w:vMerge w:val="continue"/>
            <w:vAlign w:val="center"/>
          </w:tcPr>
          <w:p>
            <w:pPr>
              <w:widowControl w:val="0"/>
              <w:numPr>
                <w:ilvl w:val="0"/>
                <w:numId w:val="0"/>
              </w:numPr>
              <w:jc w:val="both"/>
              <w:rPr>
                <w:rFonts w:hint="eastAsia"/>
                <w:lang w:val="en-US" w:eastAsia="zh-CN"/>
              </w:rPr>
            </w:pPr>
          </w:p>
        </w:tc>
        <w:tc>
          <w:tcPr>
            <w:tcW w:w="1635" w:type="dxa"/>
            <w:gridSpan w:val="2"/>
            <w:vAlign w:val="center"/>
          </w:tcPr>
          <w:p>
            <w:pPr>
              <w:widowControl w:val="0"/>
              <w:numPr>
                <w:ilvl w:val="0"/>
                <w:numId w:val="0"/>
              </w:numPr>
              <w:jc w:val="center"/>
              <w:rPr>
                <w:rFonts w:hint="eastAsia" w:eastAsiaTheme="minorEastAsia"/>
                <w:lang w:eastAsia="zh-CN"/>
              </w:rPr>
            </w:pPr>
            <w:r>
              <w:rPr>
                <w:rFonts w:hint="eastAsia"/>
                <w:lang w:eastAsia="zh-CN"/>
              </w:rPr>
              <w:t>优秀</w:t>
            </w:r>
          </w:p>
        </w:tc>
        <w:tc>
          <w:tcPr>
            <w:tcW w:w="1635" w:type="dxa"/>
            <w:gridSpan w:val="2"/>
            <w:vAlign w:val="center"/>
          </w:tcPr>
          <w:p>
            <w:pPr>
              <w:widowControl w:val="0"/>
              <w:numPr>
                <w:ilvl w:val="0"/>
                <w:numId w:val="0"/>
              </w:numPr>
              <w:jc w:val="center"/>
              <w:rPr>
                <w:rFonts w:hint="default"/>
                <w:lang w:val="en-US" w:eastAsia="zh-CN"/>
              </w:rPr>
            </w:pPr>
            <w:r>
              <w:rPr>
                <w:rFonts w:hint="eastAsia"/>
                <w:lang w:eastAsia="zh-CN"/>
              </w:rPr>
              <w:t>优秀</w:t>
            </w:r>
          </w:p>
        </w:tc>
        <w:tc>
          <w:tcPr>
            <w:tcW w:w="1635" w:type="dxa"/>
            <w:vAlign w:val="center"/>
          </w:tcPr>
          <w:p>
            <w:pPr>
              <w:widowControl w:val="0"/>
              <w:numPr>
                <w:ilvl w:val="0"/>
                <w:numId w:val="0"/>
              </w:numPr>
              <w:jc w:val="center"/>
              <w:rPr>
                <w:rFonts w:hint="default"/>
                <w:vertAlign w:val="baseline"/>
                <w:lang w:val="en-US" w:eastAsia="zh-CN"/>
              </w:rPr>
            </w:pPr>
            <w:r>
              <w:rPr>
                <w:rFonts w:hint="eastAsia"/>
                <w:lang w:eastAsia="zh-CN"/>
              </w:rPr>
              <w:t>优秀</w:t>
            </w:r>
          </w:p>
        </w:tc>
        <w:tc>
          <w:tcPr>
            <w:tcW w:w="1672" w:type="dxa"/>
            <w:gridSpan w:val="2"/>
            <w:vAlign w:val="center"/>
          </w:tcPr>
          <w:p>
            <w:pPr>
              <w:widowControl w:val="0"/>
              <w:numPr>
                <w:ilvl w:val="0"/>
                <w:numId w:val="0"/>
              </w:numPr>
              <w:ind w:left="0" w:leftChars="0" w:firstLine="0" w:firstLineChars="0"/>
              <w:jc w:val="center"/>
              <w:rPr>
                <w:rFonts w:hint="eastAsia"/>
                <w:lang w:val="en-US" w:eastAsia="zh-CN"/>
              </w:rPr>
            </w:pPr>
            <w:r>
              <w:rPr>
                <w:rFonts w:hint="eastAsia"/>
                <w:lang w:eastAsia="zh-CN"/>
              </w:rPr>
              <w:t>优秀</w:t>
            </w:r>
          </w:p>
        </w:tc>
        <w:tc>
          <w:tcPr>
            <w:tcW w:w="1672" w:type="dxa"/>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vertAlign w:val="baseline"/>
                <w:lang w:val="en-US" w:eastAsia="zh-CN"/>
              </w:rPr>
              <w:t>合格</w:t>
            </w:r>
          </w:p>
        </w:tc>
        <w:tc>
          <w:tcPr>
            <w:tcW w:w="3346" w:type="dxa"/>
            <w:gridSpan w:val="4"/>
            <w:vAlign w:val="center"/>
          </w:tcPr>
          <w:p>
            <w:pPr>
              <w:widowControl w:val="0"/>
              <w:jc w:val="center"/>
              <w:rPr>
                <w:rFonts w:hint="default"/>
                <w:vertAlign w:val="baseline"/>
                <w:lang w:val="en-US" w:eastAsia="zh-CN"/>
              </w:rPr>
            </w:pPr>
            <w:r>
              <w:rPr>
                <w:rFonts w:hint="eastAsia"/>
                <w:color w:val="auto"/>
                <w:vertAlign w:val="baseline"/>
                <w:lang w:val="en-US" w:eastAsia="zh-CN"/>
              </w:rPr>
              <w:t>2013、2015、2016、2017年度优秀</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trPr>
        <w:tc>
          <w:tcPr>
            <w:tcW w:w="2175" w:type="dxa"/>
            <w:gridSpan w:val="3"/>
            <w:vAlign w:val="center"/>
          </w:tcPr>
          <w:p>
            <w:pPr>
              <w:widowControl w:val="0"/>
              <w:numPr>
                <w:ilvl w:val="0"/>
                <w:numId w:val="0"/>
              </w:numPr>
              <w:jc w:val="center"/>
              <w:rPr>
                <w:rFonts w:hint="eastAsia"/>
                <w:b/>
                <w:bCs/>
                <w:lang w:val="en-US" w:eastAsia="zh-CN"/>
              </w:rPr>
            </w:pPr>
            <w:r>
              <w:rPr>
                <w:rFonts w:hint="eastAsia"/>
                <w:b/>
                <w:bCs/>
                <w:lang w:val="en-US" w:eastAsia="zh-CN"/>
              </w:rPr>
              <w:t>学生思想政治教育</w:t>
            </w:r>
          </w:p>
          <w:p>
            <w:pPr>
              <w:widowControl w:val="0"/>
              <w:numPr>
                <w:ilvl w:val="0"/>
                <w:numId w:val="0"/>
              </w:numPr>
              <w:jc w:val="center"/>
              <w:rPr>
                <w:rFonts w:hint="default"/>
                <w:lang w:val="en-US" w:eastAsia="zh-CN"/>
              </w:rPr>
            </w:pPr>
            <w:r>
              <w:rPr>
                <w:rFonts w:hint="eastAsia"/>
                <w:b/>
                <w:bCs/>
                <w:lang w:val="en-US" w:eastAsia="zh-CN"/>
              </w:rPr>
              <w:t>工作业绩</w:t>
            </w:r>
          </w:p>
        </w:tc>
        <w:tc>
          <w:tcPr>
            <w:tcW w:w="11595" w:type="dxa"/>
            <w:gridSpan w:val="12"/>
            <w:vAlign w:val="center"/>
          </w:tcPr>
          <w:p>
            <w:pPr>
              <w:keepNext w:val="0"/>
              <w:keepLines w:val="0"/>
              <w:pageBreakBefore w:val="0"/>
              <w:widowControl w:val="0"/>
              <w:kinsoku/>
              <w:wordWrap/>
              <w:overflowPunct/>
              <w:topLinePunct w:val="0"/>
              <w:autoSpaceDE w:val="0"/>
              <w:autoSpaceDN w:val="0"/>
              <w:bidi w:val="0"/>
              <w:adjustRightInd/>
              <w:snapToGrid/>
              <w:spacing w:line="240" w:lineRule="exact"/>
              <w:jc w:val="left"/>
              <w:textAlignment w:val="auto"/>
              <w:rPr>
                <w:rFonts w:ascii="宋体" w:hAnsi="宋体"/>
                <w:sz w:val="18"/>
                <w:szCs w:val="18"/>
              </w:rPr>
            </w:pPr>
            <w:r>
              <w:rPr>
                <w:rFonts w:hint="eastAsia" w:ascii="宋体" w:hAnsi="宋体"/>
                <w:sz w:val="18"/>
                <w:szCs w:val="18"/>
              </w:rPr>
              <w:t>1.1999年12月至2005年11月担任湘西自治州电大学生科学生干事，普招班、五年制大专班班主任，2005年12月至2011年10月担任湘西自治州电大团委副书记，2011年11月至2016年2月担任学生科科长，一直从事普招、高职、中职、开放教育学生管理工作，学生工作井然有序，深受学生好评。</w:t>
            </w:r>
          </w:p>
          <w:p>
            <w:pPr>
              <w:keepNext w:val="0"/>
              <w:keepLines w:val="0"/>
              <w:pageBreakBefore w:val="0"/>
              <w:widowControl w:val="0"/>
              <w:kinsoku/>
              <w:wordWrap/>
              <w:overflowPunct/>
              <w:topLinePunct w:val="0"/>
              <w:autoSpaceDE w:val="0"/>
              <w:autoSpaceDN w:val="0"/>
              <w:bidi w:val="0"/>
              <w:adjustRightInd/>
              <w:snapToGrid/>
              <w:spacing w:line="240" w:lineRule="exact"/>
              <w:jc w:val="left"/>
              <w:textAlignment w:val="auto"/>
              <w:rPr>
                <w:rFonts w:ascii="宋体" w:hAnsi="宋体"/>
                <w:sz w:val="18"/>
                <w:szCs w:val="18"/>
              </w:rPr>
            </w:pPr>
            <w:r>
              <w:rPr>
                <w:rFonts w:hint="eastAsia" w:ascii="宋体" w:hAnsi="宋体"/>
                <w:sz w:val="18"/>
                <w:szCs w:val="18"/>
              </w:rPr>
              <w:t>2.2005年至2013年期间担任湘西自治州电大开放教育会计本、专科班辅导员，坚持“一切以学生为中心”，热诚做好</w:t>
            </w:r>
            <w:r>
              <w:rPr>
                <w:rFonts w:hint="eastAsia" w:ascii="宋体" w:hAnsi="宋体"/>
                <w:sz w:val="18"/>
                <w:szCs w:val="18"/>
                <w:lang w:eastAsia="zh-CN"/>
              </w:rPr>
              <w:t>学习</w:t>
            </w:r>
            <w:r>
              <w:rPr>
                <w:rFonts w:hint="eastAsia" w:ascii="宋体" w:hAnsi="宋体"/>
                <w:sz w:val="18"/>
                <w:szCs w:val="18"/>
              </w:rPr>
              <w:t>支持服务工作，所带班级面授课到课率高，学员均按时毕业。</w:t>
            </w:r>
          </w:p>
          <w:p>
            <w:pPr>
              <w:widowControl w:val="0"/>
              <w:jc w:val="center"/>
              <w:rPr>
                <w:rFonts w:hint="eastAsia"/>
                <w:sz w:val="18"/>
                <w:szCs w:val="18"/>
              </w:rPr>
            </w:pPr>
            <w:r>
              <w:rPr>
                <w:rFonts w:hint="eastAsia" w:ascii="宋体" w:hAnsi="宋体"/>
                <w:sz w:val="18"/>
                <w:szCs w:val="18"/>
              </w:rPr>
              <w:t>3.2007年至今担任</w:t>
            </w:r>
            <w:r>
              <w:rPr>
                <w:rFonts w:hint="eastAsia" w:ascii="宋体" w:hAnsi="宋体"/>
                <w:sz w:val="18"/>
                <w:szCs w:val="18"/>
                <w:lang w:eastAsia="zh-CN"/>
              </w:rPr>
              <w:t>湘西开放大学（原湘西自治州电大）</w:t>
            </w:r>
            <w:r>
              <w:rPr>
                <w:rFonts w:hint="eastAsia" w:ascii="宋体" w:hAnsi="宋体"/>
                <w:sz w:val="18"/>
                <w:szCs w:val="18"/>
              </w:rPr>
              <w:t>会计专业责任教师，</w:t>
            </w:r>
            <w:r>
              <w:rPr>
                <w:rFonts w:hint="eastAsia"/>
                <w:sz w:val="18"/>
                <w:szCs w:val="18"/>
              </w:rPr>
              <w:t>指导、辅导和督导学员个别化自主学习，增加远程教育学员的归宿感</w:t>
            </w:r>
          </w:p>
          <w:p>
            <w:pPr>
              <w:widowControl w:val="0"/>
              <w:jc w:val="both"/>
              <w:rPr>
                <w:rFonts w:hint="default"/>
                <w:vertAlign w:val="baseline"/>
                <w:lang w:val="en-US" w:eastAsia="zh-CN"/>
              </w:rPr>
            </w:pPr>
            <w:r>
              <w:rPr>
                <w:rFonts w:hint="eastAsia"/>
                <w:sz w:val="18"/>
                <w:szCs w:val="18"/>
              </w:rPr>
              <w:t>及文化认同感，获学生好评。</w:t>
            </w:r>
          </w:p>
        </w:tc>
        <w:tc>
          <w:tcPr>
            <w:tcW w:w="818" w:type="dxa"/>
            <w:vAlign w:val="center"/>
          </w:tcPr>
          <w:p>
            <w:pPr>
              <w:widowControl w:val="0"/>
              <w:jc w:val="center"/>
              <w:rPr>
                <w:rFonts w:hint="default"/>
                <w:vertAlign w:val="baseline"/>
                <w:lang w:val="en-US" w:eastAsia="zh-CN"/>
              </w:rPr>
            </w:pPr>
            <w:r>
              <w:rPr>
                <w:rFonts w:hint="eastAsia"/>
                <w:vertAlign w:val="baseline"/>
                <w:lang w:val="en-US" w:eastAsia="zh-CN"/>
              </w:rPr>
              <w:t>部门审核签字盖章</w:t>
            </w:r>
          </w:p>
        </w:tc>
      </w:tr>
    </w:tbl>
    <w:p>
      <w:r>
        <w:br w:type="page"/>
      </w:r>
    </w:p>
    <w:tbl>
      <w:tblPr>
        <w:tblStyle w:val="5"/>
        <w:tblW w:w="146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835"/>
        <w:gridCol w:w="4979"/>
        <w:gridCol w:w="1506"/>
        <w:gridCol w:w="1986"/>
        <w:gridCol w:w="2272"/>
        <w:gridCol w:w="1643"/>
        <w:gridCol w:w="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13746" w:type="dxa"/>
            <w:gridSpan w:val="7"/>
            <w:vAlign w:val="center"/>
          </w:tcPr>
          <w:p>
            <w:pPr>
              <w:jc w:val="center"/>
              <w:rPr>
                <w:rFonts w:hint="eastAsia" w:eastAsiaTheme="minorEastAsia"/>
                <w:b/>
                <w:bCs/>
                <w:vertAlign w:val="baseline"/>
                <w:lang w:eastAsia="zh-CN"/>
              </w:rPr>
            </w:pPr>
            <w:r>
              <w:rPr>
                <w:rFonts w:hint="eastAsia"/>
                <w:b/>
                <w:bCs/>
                <w:vertAlign w:val="baseline"/>
                <w:lang w:eastAsia="zh-CN"/>
              </w:rPr>
              <w:t>项目名称</w:t>
            </w:r>
          </w:p>
        </w:tc>
        <w:tc>
          <w:tcPr>
            <w:tcW w:w="871" w:type="dxa"/>
          </w:tcPr>
          <w:p>
            <w:pPr>
              <w:jc w:val="center"/>
              <w:rPr>
                <w:rFonts w:hint="eastAsia"/>
                <w:b/>
                <w:bCs/>
                <w:vertAlign w:val="baseline"/>
                <w:lang w:eastAsia="zh-CN"/>
              </w:rPr>
            </w:pPr>
            <w:r>
              <w:rPr>
                <w:rFonts w:hint="eastAsia"/>
                <w:b/>
                <w:bCs/>
                <w:vertAlign w:val="baseline"/>
                <w:lang w:eastAsia="zh-CN"/>
              </w:rPr>
              <w:t>审核</w:t>
            </w:r>
          </w:p>
          <w:p>
            <w:pPr>
              <w:jc w:val="center"/>
              <w:rPr>
                <w:rFonts w:hint="eastAsia" w:eastAsiaTheme="minorEastAsia"/>
                <w:vertAlign w:val="baseline"/>
                <w:lang w:eastAsia="zh-CN"/>
              </w:rPr>
            </w:pPr>
            <w:r>
              <w:rPr>
                <w:rFonts w:hint="eastAsia"/>
                <w:b/>
                <w:bCs/>
                <w:vertAlign w:val="baseline"/>
                <w:lang w:eastAsia="zh-CN"/>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525" w:type="dxa"/>
            <w:vAlign w:val="center"/>
          </w:tcPr>
          <w:p>
            <w:pPr>
              <w:numPr>
                <w:ilvl w:val="0"/>
                <w:numId w:val="0"/>
              </w:numPr>
              <w:jc w:val="both"/>
              <w:rPr>
                <w:rFonts w:hint="eastAsia" w:eastAsiaTheme="minorEastAsia"/>
                <w:b/>
                <w:bCs/>
                <w:vertAlign w:val="baseline"/>
                <w:lang w:eastAsia="zh-CN"/>
              </w:rPr>
            </w:pPr>
            <w:r>
              <w:rPr>
                <w:rFonts w:hint="eastAsia" w:cstheme="minorBidi"/>
                <w:b/>
                <w:bCs/>
                <w:kern w:val="2"/>
                <w:sz w:val="21"/>
                <w:szCs w:val="24"/>
                <w:vertAlign w:val="baseline"/>
                <w:lang w:val="en-US" w:eastAsia="zh-CN" w:bidi="ar-SA"/>
              </w:rPr>
              <w:t>思想政治与</w:t>
            </w:r>
            <w:r>
              <w:rPr>
                <w:rFonts w:hint="eastAsia"/>
                <w:b/>
                <w:bCs/>
                <w:vertAlign w:val="baseline"/>
                <w:lang w:val="en-US" w:eastAsia="zh-CN"/>
              </w:rPr>
              <w:t>师德师风</w:t>
            </w:r>
          </w:p>
        </w:tc>
        <w:tc>
          <w:tcPr>
            <w:tcW w:w="13221" w:type="dxa"/>
            <w:gridSpan w:val="6"/>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1.</w:t>
            </w:r>
            <w:r>
              <w:rPr>
                <w:rFonts w:hint="eastAsia" w:asciiTheme="minorEastAsia" w:hAnsiTheme="minorEastAsia" w:eastAsiaTheme="minorEastAsia" w:cstheme="minorEastAsia"/>
                <w:sz w:val="21"/>
                <w:szCs w:val="21"/>
              </w:rPr>
              <w:t>优秀教师</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color w:val="000000"/>
                <w:sz w:val="21"/>
                <w:szCs w:val="21"/>
              </w:rPr>
              <w:t>湘西自治州教育和体育局</w:t>
            </w:r>
            <w:r>
              <w:rPr>
                <w:rFonts w:hint="eastAsia" w:asciiTheme="minorEastAsia" w:hAnsiTheme="minorEastAsia" w:eastAsiaTheme="minorEastAsia" w:cstheme="minorEastAsia"/>
                <w:sz w:val="21"/>
                <w:szCs w:val="21"/>
                <w:lang w:val="en-US" w:eastAsia="zh-CN"/>
              </w:rPr>
              <w:t>，2016年；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color w:val="000000"/>
                <w:sz w:val="21"/>
                <w:szCs w:val="21"/>
                <w:lang w:val="en-US" w:eastAsia="zh-CN"/>
              </w:rPr>
              <w:t>2.</w:t>
            </w:r>
            <w:r>
              <w:rPr>
                <w:rFonts w:hint="eastAsia" w:asciiTheme="minorEastAsia" w:hAnsiTheme="minorEastAsia" w:eastAsiaTheme="minorEastAsia" w:cstheme="minorEastAsia"/>
                <w:color w:val="000000"/>
                <w:sz w:val="21"/>
                <w:szCs w:val="21"/>
              </w:rPr>
              <w:t>优秀共产党员</w:t>
            </w:r>
            <w:r>
              <w:rPr>
                <w:rFonts w:hint="eastAsia" w:asciiTheme="minorEastAsia" w:hAnsiTheme="minorEastAsia" w:eastAsiaTheme="minorEastAsia" w:cstheme="minorEastAsia"/>
                <w:color w:val="000000"/>
                <w:sz w:val="21"/>
                <w:szCs w:val="21"/>
                <w:lang w:val="en-US" w:eastAsia="zh-CN"/>
              </w:rPr>
              <w:t>,</w:t>
            </w:r>
            <w:r>
              <w:rPr>
                <w:rFonts w:hint="eastAsia" w:asciiTheme="minorEastAsia" w:hAnsiTheme="minorEastAsia" w:eastAsiaTheme="minorEastAsia" w:cstheme="minorEastAsia"/>
                <w:color w:val="000000"/>
                <w:sz w:val="21"/>
                <w:szCs w:val="21"/>
              </w:rPr>
              <w:t>湘西自治州教育和体育局</w:t>
            </w:r>
            <w:r>
              <w:rPr>
                <w:rFonts w:hint="eastAsia" w:asciiTheme="minorEastAsia" w:hAnsiTheme="minorEastAsia" w:eastAsiaTheme="minorEastAsia" w:cstheme="minorEastAsia"/>
                <w:sz w:val="21"/>
                <w:szCs w:val="21"/>
                <w:lang w:val="en-US" w:eastAsia="zh-CN"/>
              </w:rPr>
              <w:t>，2016年；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textAlignment w:val="auto"/>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cstheme="minorEastAsia"/>
                <w:color w:val="000000"/>
                <w:sz w:val="21"/>
                <w:szCs w:val="21"/>
                <w:lang w:val="en-US" w:eastAsia="zh-CN"/>
              </w:rPr>
              <w:t>3.</w:t>
            </w:r>
            <w:r>
              <w:rPr>
                <w:rFonts w:hint="eastAsia" w:asciiTheme="minorEastAsia" w:hAnsiTheme="minorEastAsia" w:eastAsiaTheme="minorEastAsia" w:cstheme="minorEastAsia"/>
                <w:color w:val="000000"/>
                <w:sz w:val="21"/>
                <w:szCs w:val="21"/>
              </w:rPr>
              <w:t>优</w:t>
            </w:r>
            <w:r>
              <w:rPr>
                <w:rFonts w:hint="eastAsia" w:asciiTheme="minorEastAsia" w:hAnsiTheme="minorEastAsia" w:eastAsiaTheme="minorEastAsia" w:cstheme="minorEastAsia"/>
                <w:color w:val="000000"/>
                <w:sz w:val="21"/>
                <w:szCs w:val="21"/>
                <w:lang w:val="en-US" w:eastAsia="zh-CN"/>
              </w:rPr>
              <w:t>秀共产党员,湘西自治州教育和体育局，2017年；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textAlignment w:val="auto"/>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cstheme="minorEastAsia"/>
                <w:color w:val="000000"/>
                <w:sz w:val="21"/>
                <w:szCs w:val="21"/>
                <w:lang w:val="en-US" w:eastAsia="zh-CN"/>
              </w:rPr>
              <w:t>4.</w:t>
            </w:r>
            <w:r>
              <w:rPr>
                <w:rFonts w:hint="eastAsia" w:asciiTheme="minorEastAsia" w:hAnsiTheme="minorEastAsia" w:eastAsiaTheme="minorEastAsia" w:cstheme="minorEastAsia"/>
                <w:color w:val="000000"/>
                <w:sz w:val="21"/>
                <w:szCs w:val="21"/>
                <w:lang w:val="en-US" w:eastAsia="zh-CN"/>
              </w:rPr>
              <w:t>脱贫攻坚嘉奖，湘西自治州教育和体育局，2020年；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textAlignment w:val="auto"/>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cstheme="minorEastAsia"/>
                <w:color w:val="000000"/>
                <w:sz w:val="21"/>
                <w:szCs w:val="21"/>
                <w:lang w:val="en-US" w:eastAsia="zh-CN"/>
              </w:rPr>
              <w:t>5.</w:t>
            </w:r>
            <w:r>
              <w:rPr>
                <w:rFonts w:hint="eastAsia" w:asciiTheme="minorEastAsia" w:hAnsiTheme="minorEastAsia" w:eastAsiaTheme="minorEastAsia" w:cstheme="minorEastAsia"/>
                <w:color w:val="000000"/>
                <w:sz w:val="21"/>
                <w:szCs w:val="21"/>
                <w:lang w:val="en-US" w:eastAsia="zh-CN"/>
              </w:rPr>
              <w:t>优秀共产党员，州委教育工作委员会，2020年；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textAlignment w:val="auto"/>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cstheme="minorEastAsia"/>
                <w:color w:val="000000"/>
                <w:sz w:val="21"/>
                <w:szCs w:val="21"/>
                <w:lang w:val="en-US" w:eastAsia="zh-CN"/>
              </w:rPr>
              <w:t>6.</w:t>
            </w:r>
            <w:r>
              <w:rPr>
                <w:rFonts w:hint="eastAsia" w:asciiTheme="minorEastAsia" w:hAnsiTheme="minorEastAsia" w:eastAsiaTheme="minorEastAsia" w:cstheme="minorEastAsia"/>
                <w:color w:val="000000"/>
                <w:sz w:val="21"/>
                <w:szCs w:val="21"/>
                <w:lang w:val="en-US" w:eastAsia="zh-CN"/>
              </w:rPr>
              <w:t>州直优秀共青团干部，共青团湘西州委员会，2008年；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7.</w:t>
            </w:r>
            <w:r>
              <w:rPr>
                <w:rFonts w:hint="eastAsia" w:asciiTheme="minorEastAsia" w:hAnsiTheme="minorEastAsia" w:eastAsiaTheme="minorEastAsia" w:cstheme="minorEastAsia"/>
                <w:sz w:val="21"/>
                <w:szCs w:val="21"/>
              </w:rPr>
              <w:t>优秀教师</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color w:val="000000"/>
                <w:sz w:val="21"/>
                <w:szCs w:val="21"/>
                <w:lang w:eastAsia="zh-CN"/>
              </w:rPr>
              <w:t>湖南广播电视大学</w:t>
            </w:r>
            <w:r>
              <w:rPr>
                <w:rFonts w:hint="eastAsia" w:asciiTheme="minorEastAsia" w:hAnsiTheme="minorEastAsia" w:eastAsiaTheme="minorEastAsia" w:cstheme="minorEastAsia"/>
                <w:sz w:val="21"/>
                <w:szCs w:val="21"/>
                <w:lang w:val="en-US" w:eastAsia="zh-CN"/>
              </w:rPr>
              <w:t>，2018年；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textAlignment w:val="auto"/>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cstheme="minorEastAsia"/>
                <w:sz w:val="21"/>
                <w:szCs w:val="21"/>
                <w:lang w:val="en-US" w:eastAsia="zh-CN"/>
              </w:rPr>
              <w:t>8.</w:t>
            </w:r>
            <w:r>
              <w:rPr>
                <w:rFonts w:hint="eastAsia" w:asciiTheme="minorEastAsia" w:hAnsiTheme="minorEastAsia" w:eastAsiaTheme="minorEastAsia" w:cstheme="minorEastAsia"/>
                <w:sz w:val="21"/>
                <w:szCs w:val="21"/>
              </w:rPr>
              <w:t>优秀</w:t>
            </w:r>
            <w:r>
              <w:rPr>
                <w:rFonts w:hint="eastAsia" w:asciiTheme="minorEastAsia" w:hAnsiTheme="minorEastAsia" w:eastAsiaTheme="minorEastAsia" w:cstheme="minorEastAsia"/>
                <w:sz w:val="21"/>
                <w:szCs w:val="21"/>
                <w:lang w:eastAsia="zh-CN"/>
              </w:rPr>
              <w:t>财务工作者</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color w:val="000000"/>
                <w:sz w:val="21"/>
                <w:szCs w:val="21"/>
                <w:lang w:eastAsia="zh-CN"/>
              </w:rPr>
              <w:t>湖南广播电视大学</w:t>
            </w:r>
            <w:r>
              <w:rPr>
                <w:rFonts w:hint="eastAsia" w:asciiTheme="minorEastAsia" w:hAnsiTheme="minorEastAsia" w:eastAsiaTheme="minorEastAsia" w:cstheme="minorEastAsia"/>
                <w:sz w:val="21"/>
                <w:szCs w:val="21"/>
                <w:lang w:val="en-US" w:eastAsia="zh-CN"/>
              </w:rPr>
              <w:t>，2020年；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textAlignment w:val="auto"/>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cstheme="minorEastAsia"/>
                <w:sz w:val="21"/>
                <w:szCs w:val="21"/>
                <w:lang w:val="en-US" w:eastAsia="zh-CN"/>
              </w:rPr>
              <w:t>9.</w:t>
            </w:r>
            <w:r>
              <w:rPr>
                <w:rFonts w:hint="eastAsia" w:asciiTheme="minorEastAsia" w:hAnsiTheme="minorEastAsia" w:eastAsiaTheme="minorEastAsia" w:cstheme="minorEastAsia"/>
                <w:sz w:val="21"/>
                <w:szCs w:val="21"/>
                <w:lang w:val="en-US" w:eastAsia="zh-CN"/>
              </w:rPr>
              <w:t>优秀教师，湘西开放大学，2009年、2010年、2012年、2015年、2016年、2017年、2018年、2019年、2020年、2022年；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textAlignment w:val="auto"/>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cstheme="minorEastAsia"/>
                <w:sz w:val="21"/>
                <w:szCs w:val="21"/>
                <w:lang w:val="en-US" w:eastAsia="zh-CN"/>
              </w:rPr>
              <w:t>10.</w:t>
            </w:r>
            <w:r>
              <w:rPr>
                <w:rFonts w:hint="eastAsia" w:asciiTheme="minorEastAsia" w:hAnsiTheme="minorEastAsia" w:eastAsiaTheme="minorEastAsia" w:cstheme="minorEastAsia"/>
                <w:sz w:val="21"/>
                <w:szCs w:val="21"/>
                <w:lang w:val="en-US" w:eastAsia="zh-CN"/>
              </w:rPr>
              <w:t>优秀共产党员，湘西开放大学，2010年、2011年、2014年、2015年、2016年、2017年、2020年；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textAlignment w:val="auto"/>
              <w:rPr>
                <w:rFonts w:hint="default"/>
                <w:sz w:val="21"/>
                <w:szCs w:val="21"/>
                <w:lang w:val="en-US" w:eastAsia="zh-CN"/>
              </w:rPr>
            </w:pPr>
            <w:r>
              <w:rPr>
                <w:rFonts w:hint="eastAsia" w:asciiTheme="minorEastAsia" w:hAnsiTheme="minorEastAsia" w:cstheme="minorEastAsia"/>
                <w:sz w:val="21"/>
                <w:szCs w:val="21"/>
                <w:lang w:val="en-US" w:eastAsia="zh-CN"/>
              </w:rPr>
              <w:t>11.</w:t>
            </w:r>
            <w:r>
              <w:rPr>
                <w:rFonts w:hint="eastAsia" w:asciiTheme="minorEastAsia" w:hAnsiTheme="minorEastAsia" w:eastAsiaTheme="minorEastAsia" w:cstheme="minorEastAsia"/>
                <w:sz w:val="21"/>
                <w:szCs w:val="21"/>
                <w:lang w:val="en-US" w:eastAsia="zh-CN"/>
              </w:rPr>
              <w:t>优秀党务工作者，湘西开放大学，2011年，2012年</w:t>
            </w:r>
            <w:r>
              <w:rPr>
                <w:rFonts w:hint="eastAsia" w:asciiTheme="minorEastAsia" w:hAnsiTheme="minorEastAsia" w:cstheme="minorEastAsia"/>
                <w:sz w:val="21"/>
                <w:szCs w:val="21"/>
                <w:lang w:val="en-US" w:eastAsia="zh-CN"/>
              </w:rPr>
              <w:t>。</w:t>
            </w:r>
          </w:p>
        </w:tc>
        <w:tc>
          <w:tcPr>
            <w:tcW w:w="871" w:type="dxa"/>
          </w:tcPr>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jc w:val="center"/>
              <w:rPr>
                <w:vertAlign w:val="baseline"/>
              </w:rPr>
            </w:pPr>
            <w:r>
              <w:rPr>
                <w:rFonts w:hint="eastAsia"/>
                <w:vertAlign w:val="baseline"/>
                <w:lang w:eastAsia="zh-CN"/>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525" w:type="dxa"/>
            <w:vMerge w:val="restart"/>
            <w:vAlign w:val="center"/>
          </w:tcPr>
          <w:p>
            <w:pPr>
              <w:numPr>
                <w:ilvl w:val="0"/>
                <w:numId w:val="0"/>
              </w:numPr>
              <w:jc w:val="both"/>
              <w:rPr>
                <w:rFonts w:hint="default"/>
                <w:b/>
                <w:bCs/>
                <w:vertAlign w:val="baseline"/>
                <w:lang w:val="en-US" w:eastAsia="zh-CN"/>
              </w:rPr>
            </w:pPr>
            <w:r>
              <w:rPr>
                <w:rFonts w:hint="eastAsia"/>
                <w:b/>
                <w:bCs/>
                <w:vertAlign w:val="baseline"/>
                <w:lang w:val="en-US" w:eastAsia="zh-CN"/>
              </w:rPr>
              <w:t>教育教学</w:t>
            </w:r>
          </w:p>
        </w:tc>
        <w:tc>
          <w:tcPr>
            <w:tcW w:w="5814" w:type="dxa"/>
            <w:gridSpan w:val="2"/>
            <w:vAlign w:val="center"/>
          </w:tcPr>
          <w:p>
            <w:pPr>
              <w:ind w:firstLine="420" w:firstLineChars="200"/>
              <w:jc w:val="center"/>
              <w:rPr>
                <w:rFonts w:hint="default" w:eastAsiaTheme="minorEastAsia"/>
                <w:vertAlign w:val="baseline"/>
                <w:lang w:val="en-US" w:eastAsia="zh-CN"/>
              </w:rPr>
            </w:pPr>
            <w:r>
              <w:rPr>
                <w:rFonts w:hint="eastAsia"/>
                <w:vertAlign w:val="baseline"/>
                <w:lang w:val="en-US" w:eastAsia="zh-CN"/>
              </w:rPr>
              <w:t>教育教学能力</w:t>
            </w:r>
          </w:p>
        </w:tc>
        <w:tc>
          <w:tcPr>
            <w:tcW w:w="7407" w:type="dxa"/>
            <w:gridSpan w:val="4"/>
            <w:vAlign w:val="center"/>
          </w:tcPr>
          <w:p>
            <w:pPr>
              <w:ind w:firstLine="420" w:firstLineChars="200"/>
              <w:jc w:val="center"/>
              <w:rPr>
                <w:rFonts w:hint="default"/>
                <w:vertAlign w:val="baseline"/>
                <w:lang w:val="en-US" w:eastAsia="zh-CN"/>
              </w:rPr>
            </w:pPr>
            <w:r>
              <w:rPr>
                <w:rFonts w:hint="eastAsia"/>
                <w:lang w:val="en-US" w:eastAsia="zh-CN"/>
              </w:rPr>
              <w:t>教学工作量（学时）</w:t>
            </w:r>
          </w:p>
        </w:tc>
        <w:tc>
          <w:tcPr>
            <w:tcW w:w="871" w:type="dxa"/>
            <w:vMerge w:val="restart"/>
          </w:tcPr>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rPr>
                <w:vertAlign w:val="baseline"/>
              </w:rPr>
            </w:pPr>
            <w:r>
              <w:rPr>
                <w:rFonts w:hint="eastAsia"/>
                <w:vertAlign w:val="baseline"/>
                <w:lang w:eastAsia="zh-CN"/>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525" w:type="dxa"/>
            <w:vMerge w:val="continue"/>
            <w:vAlign w:val="center"/>
          </w:tcPr>
          <w:p>
            <w:pPr>
              <w:ind w:firstLine="420" w:firstLineChars="200"/>
              <w:jc w:val="center"/>
            </w:pPr>
          </w:p>
        </w:tc>
        <w:tc>
          <w:tcPr>
            <w:tcW w:w="5814" w:type="dxa"/>
            <w:gridSpan w:val="2"/>
            <w:vMerge w:val="restart"/>
            <w:vAlign w:val="center"/>
          </w:tcPr>
          <w:p>
            <w:pPr>
              <w:keepNext w:val="0"/>
              <w:keepLines w:val="0"/>
              <w:pageBreakBefore w:val="0"/>
              <w:widowControl w:val="0"/>
              <w:numPr>
                <w:ilvl w:val="0"/>
                <w:numId w:val="0"/>
              </w:numPr>
              <w:kinsoku/>
              <w:wordWrap/>
              <w:overflowPunct/>
              <w:topLinePunct w:val="0"/>
              <w:bidi w:val="0"/>
              <w:snapToGrid/>
              <w:spacing w:line="240" w:lineRule="exact"/>
              <w:jc w:val="left"/>
              <w:textAlignment w:val="auto"/>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vertAlign w:val="baseline"/>
                <w:lang w:val="en-US" w:eastAsia="zh-CN"/>
              </w:rPr>
              <w:t>1.任教课程：</w:t>
            </w:r>
            <w:r>
              <w:rPr>
                <w:rFonts w:hint="eastAsia" w:asciiTheme="minorEastAsia" w:hAnsiTheme="minorEastAsia" w:eastAsiaTheme="minorEastAsia" w:cstheme="minorEastAsia"/>
                <w:szCs w:val="21"/>
              </w:rPr>
              <w:t>基础会计、中级财务会计（一）、中级财务会计（二）、电算化会计、会计核算模拟实验、财务报表分析、会计制度设计、个人理财、农村集体经济组织财务会计、农村居民理财实务等</w:t>
            </w:r>
            <w:r>
              <w:rPr>
                <w:rFonts w:hint="eastAsia" w:asciiTheme="minorEastAsia" w:hAnsiTheme="minorEastAsia" w:eastAsiaTheme="minorEastAsia" w:cstheme="minorEastAsia"/>
                <w:vertAlign w:val="baseline"/>
                <w:lang w:val="en-US" w:eastAsia="zh-CN"/>
              </w:rPr>
              <w:t>；</w:t>
            </w:r>
          </w:p>
          <w:p>
            <w:pPr>
              <w:keepNext w:val="0"/>
              <w:keepLines w:val="0"/>
              <w:pageBreakBefore w:val="0"/>
              <w:widowControl w:val="0"/>
              <w:kinsoku/>
              <w:wordWrap/>
              <w:overflowPunct/>
              <w:topLinePunct w:val="0"/>
              <w:autoSpaceDE w:val="0"/>
              <w:autoSpaceDN w:val="0"/>
              <w:bidi w:val="0"/>
              <w:adjustRightInd w:val="0"/>
              <w:snapToGrid/>
              <w:spacing w:line="240" w:lineRule="exact"/>
              <w:jc w:val="left"/>
              <w:textAlignment w:val="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vertAlign w:val="baseline"/>
                <w:lang w:val="en-US" w:eastAsia="zh-CN"/>
              </w:rPr>
              <w:t>2.班主任等学生思想教育、管理工作：</w:t>
            </w:r>
            <w:r>
              <w:rPr>
                <w:rFonts w:hint="eastAsia" w:asciiTheme="minorEastAsia" w:hAnsiTheme="minorEastAsia" w:eastAsiaTheme="minorEastAsia" w:cstheme="minorEastAsia"/>
                <w:szCs w:val="21"/>
              </w:rPr>
              <w:t>2003年9月-2008年7月担任03级旅游与英语五年制大专班班主任；2005年3月-2008年3月担任2005级春季开放教育会计本科班、会计专科班辅导员；2010年9月-2013年9月担任2010级秋季开放教育会计本科班、会计专科班辅导员；2005年12月-2011年10月担任湘西自治州电大团委副书记，从事中职、高职、开放教育学生管理工作；2011年11月-2016年2月担任湘西自治州电大学生科科长，主持中职、高职、中职、开放教育学生管理工作；2007年10月任讲师至今担任湘西自治州电大会计专业导师，指导、辅导和督导开放教育学员个别化自主学习。</w:t>
            </w:r>
          </w:p>
          <w:p>
            <w:pPr>
              <w:keepNext w:val="0"/>
              <w:keepLines w:val="0"/>
              <w:pageBreakBefore w:val="0"/>
              <w:widowControl w:val="0"/>
              <w:kinsoku/>
              <w:wordWrap/>
              <w:overflowPunct/>
              <w:topLinePunct w:val="0"/>
              <w:autoSpaceDE w:val="0"/>
              <w:autoSpaceDN w:val="0"/>
              <w:bidi w:val="0"/>
              <w:adjustRightInd w:val="0"/>
              <w:snapToGrid/>
              <w:spacing w:line="240" w:lineRule="exact"/>
              <w:jc w:val="left"/>
              <w:textAlignment w:val="auto"/>
              <w:rPr>
                <w:rFonts w:hint="default"/>
                <w:vertAlign w:val="baseline"/>
                <w:lang w:val="en-US" w:eastAsia="zh-CN"/>
              </w:rPr>
            </w:pPr>
            <w:r>
              <w:rPr>
                <w:rFonts w:hint="eastAsia" w:asciiTheme="minorEastAsia" w:hAnsiTheme="minorEastAsia" w:eastAsiaTheme="minorEastAsia" w:cstheme="minorEastAsia"/>
                <w:szCs w:val="21"/>
                <w:lang w:val="en-US" w:eastAsia="zh-CN"/>
              </w:rPr>
              <w:t>3.指导青年教师教育教学的经历情况：</w:t>
            </w:r>
            <w:r>
              <w:rPr>
                <w:rFonts w:hint="eastAsia" w:asciiTheme="minorEastAsia" w:hAnsiTheme="minorEastAsia" w:eastAsiaTheme="minorEastAsia" w:cstheme="minorEastAsia"/>
                <w:szCs w:val="21"/>
              </w:rPr>
              <w:t>指导岳蓬蓬老师主持开展班主任、团委、学生管理工作;参与教学科研科评教评课活动，指导彭银琪、唐正夫等老师面授课教学教法；指导彭诗语老师如何将会计理论与实务相结合。</w:t>
            </w:r>
          </w:p>
        </w:tc>
        <w:tc>
          <w:tcPr>
            <w:tcW w:w="1506" w:type="dxa"/>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both"/>
              <w:textAlignment w:val="auto"/>
              <w:rPr>
                <w:rFonts w:hint="default"/>
                <w:vertAlign w:val="baseline"/>
                <w:lang w:val="en-US" w:eastAsia="zh-CN"/>
              </w:rPr>
            </w:pPr>
            <w:r>
              <w:rPr>
                <w:rFonts w:hint="eastAsia"/>
                <w:vertAlign w:val="baseline"/>
                <w:lang w:val="en-US" w:eastAsia="zh-CN"/>
              </w:rPr>
              <w:t>年度</w:t>
            </w:r>
          </w:p>
        </w:tc>
        <w:tc>
          <w:tcPr>
            <w:tcW w:w="1986"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b/>
                <w:bCs/>
                <w:vertAlign w:val="baseline"/>
                <w:lang w:val="en-US" w:eastAsia="zh-CN"/>
              </w:rPr>
            </w:pPr>
            <w:r>
              <w:rPr>
                <w:rFonts w:hint="eastAsia"/>
                <w:b/>
                <w:bCs/>
                <w:vertAlign w:val="baseline"/>
                <w:lang w:val="en-US" w:eastAsia="zh-CN"/>
              </w:rPr>
              <w:t>课堂教学</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vertAlign w:val="baseline"/>
                <w:lang w:val="en-US" w:eastAsia="zh-CN"/>
              </w:rPr>
            </w:pPr>
            <w:r>
              <w:rPr>
                <w:rFonts w:hint="eastAsia"/>
                <w:sz w:val="18"/>
                <w:szCs w:val="21"/>
                <w:vertAlign w:val="baseline"/>
                <w:lang w:val="en-US" w:eastAsia="zh-CN"/>
              </w:rPr>
              <w:t>含面授、直播等</w:t>
            </w:r>
          </w:p>
        </w:tc>
        <w:tc>
          <w:tcPr>
            <w:tcW w:w="2272"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b/>
                <w:bCs/>
                <w:vertAlign w:val="baseline"/>
                <w:lang w:val="en-US" w:eastAsia="zh-CN"/>
              </w:rPr>
            </w:pPr>
            <w:r>
              <w:rPr>
                <w:rFonts w:hint="eastAsia"/>
                <w:b/>
                <w:bCs/>
                <w:vertAlign w:val="baseline"/>
                <w:lang w:val="en-US" w:eastAsia="zh-CN"/>
              </w:rPr>
              <w:t>实践教学</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vertAlign w:val="baseline"/>
                <w:lang w:val="en-US" w:eastAsia="zh-CN"/>
              </w:rPr>
            </w:pPr>
            <w:r>
              <w:rPr>
                <w:rFonts w:hint="eastAsia"/>
                <w:sz w:val="18"/>
                <w:szCs w:val="21"/>
                <w:vertAlign w:val="baseline"/>
                <w:lang w:val="en-US" w:eastAsia="zh-CN"/>
              </w:rPr>
              <w:t>含毕业设计（论文）、岗位实习指导等</w:t>
            </w:r>
          </w:p>
        </w:tc>
        <w:tc>
          <w:tcPr>
            <w:tcW w:w="1643" w:type="dxa"/>
            <w:vAlign w:val="center"/>
          </w:tcPr>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center"/>
              <w:textAlignment w:val="auto"/>
              <w:rPr>
                <w:rFonts w:hint="eastAsia" w:eastAsiaTheme="minorEastAsia"/>
                <w:vertAlign w:val="baseline"/>
                <w:lang w:val="en-US" w:eastAsia="zh-CN"/>
              </w:rPr>
            </w:pPr>
            <w:r>
              <w:rPr>
                <w:rFonts w:hint="eastAsia"/>
                <w:vertAlign w:val="baseline"/>
                <w:lang w:val="en-US" w:eastAsia="zh-CN"/>
              </w:rPr>
              <w:t>总计</w:t>
            </w:r>
          </w:p>
        </w:tc>
        <w:tc>
          <w:tcPr>
            <w:tcW w:w="871" w:type="dxa"/>
            <w:vMerge w:val="continue"/>
          </w:tcPr>
          <w:p>
            <w:pPr>
              <w:ind w:firstLine="420" w:firstLineChars="200"/>
              <w:jc w:val="center"/>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9" w:hRule="atLeast"/>
        </w:trPr>
        <w:tc>
          <w:tcPr>
            <w:tcW w:w="525" w:type="dxa"/>
            <w:vMerge w:val="continue"/>
            <w:vAlign w:val="center"/>
          </w:tcPr>
          <w:p>
            <w:pPr>
              <w:ind w:firstLine="420" w:firstLineChars="200"/>
              <w:jc w:val="center"/>
            </w:pPr>
          </w:p>
        </w:tc>
        <w:tc>
          <w:tcPr>
            <w:tcW w:w="5814" w:type="dxa"/>
            <w:gridSpan w:val="2"/>
            <w:vMerge w:val="continue"/>
            <w:vAlign w:val="center"/>
          </w:tcPr>
          <w:p>
            <w:pPr>
              <w:ind w:firstLine="420" w:firstLineChars="200"/>
              <w:jc w:val="center"/>
            </w:pPr>
          </w:p>
        </w:tc>
        <w:tc>
          <w:tcPr>
            <w:tcW w:w="1506"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2008</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2009</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2010</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2011</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2012</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2013</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2014</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2015</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2016</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2017</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2018</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2019</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2020</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2021</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both"/>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color w:val="auto"/>
                <w:szCs w:val="21"/>
                <w:lang w:val="en-US" w:eastAsia="zh-CN"/>
              </w:rPr>
              <w:t>2022</w:t>
            </w:r>
          </w:p>
        </w:tc>
        <w:tc>
          <w:tcPr>
            <w:tcW w:w="1986"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180"/>
              <w:jc w:val="center"/>
              <w:textAlignment w:val="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280</w:t>
            </w:r>
          </w:p>
          <w:p>
            <w:pPr>
              <w:keepNext w:val="0"/>
              <w:keepLines w:val="0"/>
              <w:pageBreakBefore w:val="0"/>
              <w:widowControl w:val="0"/>
              <w:kinsoku/>
              <w:wordWrap/>
              <w:overflowPunct/>
              <w:topLinePunct w:val="0"/>
              <w:autoSpaceDE/>
              <w:autoSpaceDN/>
              <w:bidi w:val="0"/>
              <w:adjustRightInd/>
              <w:snapToGrid/>
              <w:spacing w:line="240" w:lineRule="exact"/>
              <w:ind w:left="180"/>
              <w:jc w:val="center"/>
              <w:textAlignment w:val="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320</w:t>
            </w:r>
          </w:p>
          <w:p>
            <w:pPr>
              <w:keepNext w:val="0"/>
              <w:keepLines w:val="0"/>
              <w:pageBreakBefore w:val="0"/>
              <w:widowControl w:val="0"/>
              <w:kinsoku/>
              <w:wordWrap/>
              <w:overflowPunct/>
              <w:topLinePunct w:val="0"/>
              <w:autoSpaceDE/>
              <w:autoSpaceDN/>
              <w:bidi w:val="0"/>
              <w:adjustRightInd/>
              <w:snapToGrid/>
              <w:spacing w:line="240" w:lineRule="exact"/>
              <w:ind w:left="180"/>
              <w:jc w:val="center"/>
              <w:textAlignment w:val="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280</w:t>
            </w:r>
          </w:p>
          <w:p>
            <w:pPr>
              <w:keepNext w:val="0"/>
              <w:keepLines w:val="0"/>
              <w:pageBreakBefore w:val="0"/>
              <w:widowControl w:val="0"/>
              <w:kinsoku/>
              <w:wordWrap/>
              <w:overflowPunct/>
              <w:topLinePunct w:val="0"/>
              <w:autoSpaceDE/>
              <w:autoSpaceDN/>
              <w:bidi w:val="0"/>
              <w:adjustRightInd/>
              <w:snapToGrid/>
              <w:spacing w:line="240" w:lineRule="exact"/>
              <w:ind w:left="180"/>
              <w:jc w:val="center"/>
              <w:textAlignment w:val="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200</w:t>
            </w:r>
          </w:p>
          <w:p>
            <w:pPr>
              <w:keepNext w:val="0"/>
              <w:keepLines w:val="0"/>
              <w:pageBreakBefore w:val="0"/>
              <w:widowControl w:val="0"/>
              <w:kinsoku/>
              <w:wordWrap/>
              <w:overflowPunct/>
              <w:topLinePunct w:val="0"/>
              <w:autoSpaceDE/>
              <w:autoSpaceDN/>
              <w:bidi w:val="0"/>
              <w:adjustRightInd/>
              <w:snapToGrid/>
              <w:spacing w:line="240" w:lineRule="exact"/>
              <w:ind w:left="180"/>
              <w:jc w:val="center"/>
              <w:textAlignment w:val="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240</w:t>
            </w:r>
          </w:p>
          <w:p>
            <w:pPr>
              <w:keepNext w:val="0"/>
              <w:keepLines w:val="0"/>
              <w:pageBreakBefore w:val="0"/>
              <w:widowControl w:val="0"/>
              <w:kinsoku/>
              <w:wordWrap/>
              <w:overflowPunct/>
              <w:topLinePunct w:val="0"/>
              <w:autoSpaceDE/>
              <w:autoSpaceDN/>
              <w:bidi w:val="0"/>
              <w:adjustRightInd/>
              <w:snapToGrid/>
              <w:spacing w:line="240" w:lineRule="exact"/>
              <w:ind w:left="180"/>
              <w:jc w:val="center"/>
              <w:textAlignment w:val="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240</w:t>
            </w:r>
          </w:p>
          <w:p>
            <w:pPr>
              <w:keepNext w:val="0"/>
              <w:keepLines w:val="0"/>
              <w:pageBreakBefore w:val="0"/>
              <w:widowControl w:val="0"/>
              <w:kinsoku/>
              <w:wordWrap/>
              <w:overflowPunct/>
              <w:topLinePunct w:val="0"/>
              <w:autoSpaceDE/>
              <w:autoSpaceDN/>
              <w:bidi w:val="0"/>
              <w:adjustRightInd/>
              <w:snapToGrid/>
              <w:spacing w:line="240" w:lineRule="exact"/>
              <w:ind w:left="180"/>
              <w:jc w:val="center"/>
              <w:textAlignment w:val="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200</w:t>
            </w:r>
          </w:p>
          <w:p>
            <w:pPr>
              <w:keepNext w:val="0"/>
              <w:keepLines w:val="0"/>
              <w:pageBreakBefore w:val="0"/>
              <w:widowControl w:val="0"/>
              <w:kinsoku/>
              <w:wordWrap/>
              <w:overflowPunct/>
              <w:topLinePunct w:val="0"/>
              <w:autoSpaceDE/>
              <w:autoSpaceDN/>
              <w:bidi w:val="0"/>
              <w:adjustRightInd/>
              <w:snapToGrid/>
              <w:spacing w:line="240" w:lineRule="exact"/>
              <w:ind w:left="180"/>
              <w:jc w:val="center"/>
              <w:textAlignment w:val="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320</w:t>
            </w:r>
          </w:p>
          <w:p>
            <w:pPr>
              <w:keepNext w:val="0"/>
              <w:keepLines w:val="0"/>
              <w:pageBreakBefore w:val="0"/>
              <w:widowControl w:val="0"/>
              <w:kinsoku/>
              <w:wordWrap/>
              <w:overflowPunct/>
              <w:topLinePunct w:val="0"/>
              <w:autoSpaceDE/>
              <w:autoSpaceDN/>
              <w:bidi w:val="0"/>
              <w:adjustRightInd/>
              <w:snapToGrid/>
              <w:spacing w:line="240" w:lineRule="exact"/>
              <w:ind w:left="180"/>
              <w:jc w:val="center"/>
              <w:textAlignment w:val="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200</w:t>
            </w:r>
          </w:p>
          <w:p>
            <w:pPr>
              <w:keepNext w:val="0"/>
              <w:keepLines w:val="0"/>
              <w:pageBreakBefore w:val="0"/>
              <w:widowControl w:val="0"/>
              <w:kinsoku/>
              <w:wordWrap/>
              <w:overflowPunct/>
              <w:topLinePunct w:val="0"/>
              <w:autoSpaceDE/>
              <w:autoSpaceDN/>
              <w:bidi w:val="0"/>
              <w:adjustRightInd/>
              <w:snapToGrid/>
              <w:spacing w:line="240" w:lineRule="exact"/>
              <w:ind w:left="180"/>
              <w:jc w:val="center"/>
              <w:textAlignment w:val="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160</w:t>
            </w:r>
          </w:p>
          <w:p>
            <w:pPr>
              <w:keepNext w:val="0"/>
              <w:keepLines w:val="0"/>
              <w:pageBreakBefore w:val="0"/>
              <w:widowControl w:val="0"/>
              <w:kinsoku/>
              <w:wordWrap/>
              <w:overflowPunct/>
              <w:topLinePunct w:val="0"/>
              <w:autoSpaceDE/>
              <w:autoSpaceDN/>
              <w:bidi w:val="0"/>
              <w:adjustRightInd/>
              <w:snapToGrid/>
              <w:spacing w:line="240" w:lineRule="exact"/>
              <w:ind w:left="180"/>
              <w:jc w:val="center"/>
              <w:textAlignment w:val="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220</w:t>
            </w:r>
          </w:p>
          <w:p>
            <w:pPr>
              <w:keepNext w:val="0"/>
              <w:keepLines w:val="0"/>
              <w:pageBreakBefore w:val="0"/>
              <w:widowControl w:val="0"/>
              <w:kinsoku/>
              <w:wordWrap/>
              <w:overflowPunct/>
              <w:topLinePunct w:val="0"/>
              <w:autoSpaceDE/>
              <w:autoSpaceDN/>
              <w:bidi w:val="0"/>
              <w:adjustRightInd/>
              <w:snapToGrid/>
              <w:spacing w:line="240" w:lineRule="exact"/>
              <w:ind w:left="180"/>
              <w:jc w:val="center"/>
              <w:textAlignment w:val="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160</w:t>
            </w:r>
          </w:p>
          <w:p>
            <w:pPr>
              <w:keepNext w:val="0"/>
              <w:keepLines w:val="0"/>
              <w:pageBreakBefore w:val="0"/>
              <w:widowControl w:val="0"/>
              <w:kinsoku/>
              <w:wordWrap/>
              <w:overflowPunct/>
              <w:topLinePunct w:val="0"/>
              <w:autoSpaceDE/>
              <w:autoSpaceDN/>
              <w:bidi w:val="0"/>
              <w:adjustRightInd/>
              <w:snapToGrid/>
              <w:spacing w:line="240" w:lineRule="exact"/>
              <w:ind w:left="180"/>
              <w:jc w:val="center"/>
              <w:textAlignment w:val="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80</w:t>
            </w:r>
          </w:p>
          <w:p>
            <w:pPr>
              <w:keepNext w:val="0"/>
              <w:keepLines w:val="0"/>
              <w:pageBreakBefore w:val="0"/>
              <w:widowControl w:val="0"/>
              <w:kinsoku/>
              <w:wordWrap/>
              <w:overflowPunct/>
              <w:topLinePunct w:val="0"/>
              <w:autoSpaceDE/>
              <w:autoSpaceDN/>
              <w:bidi w:val="0"/>
              <w:adjustRightInd/>
              <w:snapToGrid/>
              <w:spacing w:line="240" w:lineRule="exact"/>
              <w:ind w:left="180"/>
              <w:jc w:val="center"/>
              <w:textAlignment w:val="auto"/>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120</w:t>
            </w:r>
          </w:p>
          <w:p>
            <w:pPr>
              <w:keepNext w:val="0"/>
              <w:keepLines w:val="0"/>
              <w:pageBreakBefore w:val="0"/>
              <w:widowControl w:val="0"/>
              <w:kinsoku/>
              <w:wordWrap/>
              <w:overflowPunct/>
              <w:topLinePunct w:val="0"/>
              <w:autoSpaceDE/>
              <w:autoSpaceDN/>
              <w:bidi w:val="0"/>
              <w:adjustRightInd/>
              <w:snapToGrid/>
              <w:spacing w:line="240" w:lineRule="exact"/>
              <w:ind w:firstLine="840" w:firstLineChars="400"/>
              <w:jc w:val="both"/>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szCs w:val="21"/>
                <w:lang w:val="en-US" w:eastAsia="zh-CN"/>
              </w:rPr>
              <w:t>320</w:t>
            </w:r>
          </w:p>
        </w:tc>
        <w:tc>
          <w:tcPr>
            <w:tcW w:w="2272"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125</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115</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rPr>
              <w:t>1</w:t>
            </w:r>
            <w:r>
              <w:rPr>
                <w:rFonts w:hint="eastAsia" w:asciiTheme="minorEastAsia" w:hAnsiTheme="minorEastAsia" w:eastAsiaTheme="minorEastAsia" w:cstheme="minorEastAsia"/>
                <w:szCs w:val="21"/>
                <w:lang w:val="en-US" w:eastAsia="zh-CN"/>
              </w:rPr>
              <w:t>40</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r>
              <w:rPr>
                <w:rFonts w:hint="eastAsia" w:asciiTheme="minorEastAsia" w:hAnsiTheme="minorEastAsia" w:eastAsiaTheme="minorEastAsia" w:cstheme="minorEastAsia"/>
                <w:szCs w:val="21"/>
                <w:lang w:val="en-US" w:eastAsia="zh-CN"/>
              </w:rPr>
              <w:t>5</w:t>
            </w:r>
            <w:r>
              <w:rPr>
                <w:rFonts w:hint="eastAsia" w:asciiTheme="minorEastAsia" w:hAnsiTheme="minorEastAsia" w:eastAsiaTheme="minorEastAsia" w:cstheme="minorEastAsia"/>
                <w:szCs w:val="21"/>
              </w:rPr>
              <w:t>5</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190</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210</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190</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165</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190</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250</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295</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295</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295</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310</w:t>
            </w:r>
          </w:p>
          <w:p>
            <w:pPr>
              <w:keepNext w:val="0"/>
              <w:keepLines w:val="0"/>
              <w:pageBreakBefore w:val="0"/>
              <w:widowControl w:val="0"/>
              <w:kinsoku/>
              <w:wordWrap/>
              <w:overflowPunct/>
              <w:topLinePunct w:val="0"/>
              <w:autoSpaceDE/>
              <w:autoSpaceDN/>
              <w:bidi w:val="0"/>
              <w:adjustRightInd/>
              <w:snapToGrid/>
              <w:spacing w:line="240" w:lineRule="exact"/>
              <w:ind w:firstLine="840" w:firstLineChars="400"/>
              <w:jc w:val="both"/>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szCs w:val="21"/>
                <w:lang w:val="en-US" w:eastAsia="zh-CN"/>
              </w:rPr>
              <w:t>205</w:t>
            </w:r>
          </w:p>
        </w:tc>
        <w:tc>
          <w:tcPr>
            <w:tcW w:w="1643"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szCs w:val="21"/>
              </w:rPr>
            </w:pPr>
            <w:r>
              <w:rPr>
                <w:rFonts w:hint="eastAsia"/>
                <w:szCs w:val="21"/>
              </w:rPr>
              <w:t>405</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szCs w:val="21"/>
              </w:rPr>
            </w:pPr>
            <w:r>
              <w:rPr>
                <w:rFonts w:hint="eastAsia"/>
                <w:szCs w:val="21"/>
              </w:rPr>
              <w:t>435</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eastAsia="宋体"/>
                <w:szCs w:val="21"/>
                <w:lang w:val="en-US" w:eastAsia="zh-CN"/>
              </w:rPr>
            </w:pPr>
            <w:r>
              <w:rPr>
                <w:rFonts w:hint="eastAsia"/>
                <w:szCs w:val="21"/>
              </w:rPr>
              <w:t>4</w:t>
            </w:r>
            <w:r>
              <w:rPr>
                <w:rFonts w:hint="eastAsia"/>
                <w:szCs w:val="21"/>
                <w:lang w:val="en-US" w:eastAsia="zh-CN"/>
              </w:rPr>
              <w:t>20</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eastAsia="宋体"/>
                <w:szCs w:val="21"/>
                <w:lang w:val="en-US" w:eastAsia="zh-CN"/>
              </w:rPr>
            </w:pPr>
            <w:r>
              <w:rPr>
                <w:rFonts w:hint="eastAsia"/>
                <w:szCs w:val="21"/>
              </w:rPr>
              <w:t>35</w:t>
            </w:r>
            <w:r>
              <w:rPr>
                <w:rFonts w:hint="eastAsia"/>
                <w:szCs w:val="21"/>
                <w:lang w:val="en-US" w:eastAsia="zh-CN"/>
              </w:rPr>
              <w:t>5</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szCs w:val="21"/>
              </w:rPr>
            </w:pPr>
            <w:r>
              <w:rPr>
                <w:rFonts w:hint="eastAsia"/>
                <w:szCs w:val="21"/>
              </w:rPr>
              <w:t>430</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szCs w:val="21"/>
              </w:rPr>
            </w:pPr>
            <w:r>
              <w:rPr>
                <w:rFonts w:hint="eastAsia"/>
                <w:szCs w:val="21"/>
              </w:rPr>
              <w:t>450</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szCs w:val="21"/>
              </w:rPr>
            </w:pPr>
            <w:r>
              <w:rPr>
                <w:rFonts w:hint="eastAsia"/>
                <w:szCs w:val="21"/>
              </w:rPr>
              <w:t>390</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szCs w:val="21"/>
              </w:rPr>
            </w:pPr>
            <w:r>
              <w:rPr>
                <w:rFonts w:hint="eastAsia"/>
                <w:szCs w:val="21"/>
              </w:rPr>
              <w:t>485</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szCs w:val="21"/>
              </w:rPr>
            </w:pPr>
            <w:r>
              <w:rPr>
                <w:rFonts w:hint="eastAsia"/>
                <w:szCs w:val="21"/>
              </w:rPr>
              <w:t>390</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szCs w:val="21"/>
              </w:rPr>
            </w:pPr>
            <w:r>
              <w:rPr>
                <w:rFonts w:hint="eastAsia"/>
                <w:szCs w:val="21"/>
              </w:rPr>
              <w:t>410</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szCs w:val="21"/>
              </w:rPr>
            </w:pPr>
            <w:r>
              <w:rPr>
                <w:rFonts w:hint="eastAsia"/>
                <w:szCs w:val="21"/>
              </w:rPr>
              <w:t>515</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szCs w:val="21"/>
              </w:rPr>
            </w:pPr>
            <w:r>
              <w:rPr>
                <w:rFonts w:hint="eastAsia"/>
                <w:szCs w:val="21"/>
              </w:rPr>
              <w:t>455</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szCs w:val="21"/>
              </w:rPr>
            </w:pPr>
            <w:r>
              <w:rPr>
                <w:rFonts w:hint="eastAsia"/>
                <w:szCs w:val="21"/>
              </w:rPr>
              <w:t>375</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szCs w:val="21"/>
              </w:rPr>
            </w:pPr>
            <w:r>
              <w:rPr>
                <w:rFonts w:hint="eastAsia"/>
                <w:szCs w:val="21"/>
              </w:rPr>
              <w:t>4</w:t>
            </w:r>
            <w:r>
              <w:rPr>
                <w:rFonts w:hint="eastAsia"/>
                <w:szCs w:val="21"/>
                <w:lang w:val="en-US" w:eastAsia="zh-CN"/>
              </w:rPr>
              <w:t>3</w:t>
            </w:r>
            <w:r>
              <w:rPr>
                <w:rFonts w:hint="eastAsia"/>
                <w:szCs w:val="21"/>
              </w:rPr>
              <w:t>0</w:t>
            </w:r>
          </w:p>
          <w:p>
            <w:pPr>
              <w:keepNext w:val="0"/>
              <w:keepLines w:val="0"/>
              <w:pageBreakBefore w:val="0"/>
              <w:widowControl w:val="0"/>
              <w:kinsoku/>
              <w:wordWrap/>
              <w:overflowPunct/>
              <w:topLinePunct w:val="0"/>
              <w:autoSpaceDE/>
              <w:autoSpaceDN/>
              <w:bidi w:val="0"/>
              <w:adjustRightInd/>
              <w:snapToGrid/>
              <w:spacing w:line="240" w:lineRule="exact"/>
              <w:ind w:firstLine="630" w:firstLineChars="300"/>
              <w:jc w:val="both"/>
              <w:textAlignment w:val="auto"/>
            </w:pPr>
            <w:r>
              <w:rPr>
                <w:rFonts w:hint="eastAsia"/>
                <w:szCs w:val="21"/>
                <w:lang w:val="en-US" w:eastAsia="zh-CN"/>
              </w:rPr>
              <w:t>525</w:t>
            </w:r>
          </w:p>
        </w:tc>
        <w:tc>
          <w:tcPr>
            <w:tcW w:w="871" w:type="dxa"/>
            <w:vMerge w:val="continue"/>
          </w:tcPr>
          <w:p>
            <w:pPr>
              <w:ind w:firstLine="420" w:firstLineChars="20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8" w:hRule="atLeast"/>
        </w:trPr>
        <w:tc>
          <w:tcPr>
            <w:tcW w:w="525" w:type="dxa"/>
            <w:vAlign w:val="center"/>
          </w:tcPr>
          <w:p>
            <w:pPr>
              <w:numPr>
                <w:ilvl w:val="0"/>
                <w:numId w:val="0"/>
              </w:numPr>
              <w:jc w:val="center"/>
              <w:rPr>
                <w:rFonts w:hint="default" w:asciiTheme="minorHAnsi" w:hAnsiTheme="minorHAnsi" w:eastAsiaTheme="minorEastAsia" w:cstheme="minorBidi"/>
                <w:b/>
                <w:bCs/>
                <w:kern w:val="2"/>
                <w:sz w:val="21"/>
                <w:szCs w:val="24"/>
                <w:vertAlign w:val="baseline"/>
                <w:lang w:val="en-US" w:eastAsia="zh-CN" w:bidi="ar-SA"/>
              </w:rPr>
            </w:pPr>
            <w:r>
              <w:rPr>
                <w:rFonts w:hint="eastAsia"/>
                <w:b/>
                <w:bCs/>
                <w:vertAlign w:val="baseline"/>
                <w:lang w:val="en-US" w:eastAsia="zh-CN"/>
              </w:rPr>
              <w:t>教育教学业绩成果</w:t>
            </w:r>
          </w:p>
        </w:tc>
        <w:tc>
          <w:tcPr>
            <w:tcW w:w="13221" w:type="dxa"/>
            <w:gridSpan w:val="6"/>
            <w:vAlign w:val="center"/>
          </w:tcPr>
          <w:p>
            <w:pPr>
              <w:numPr>
                <w:ilvl w:val="0"/>
                <w:numId w:val="0"/>
              </w:numPr>
              <w:jc w:val="left"/>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vertAlign w:val="baseline"/>
                <w:lang w:val="en-US" w:eastAsia="zh-CN"/>
              </w:rPr>
              <w:t>1.</w:t>
            </w:r>
            <w:r>
              <w:rPr>
                <w:rFonts w:hint="eastAsia" w:asciiTheme="minorEastAsia" w:hAnsiTheme="minorEastAsia" w:eastAsiaTheme="minorEastAsia" w:cstheme="minorEastAsia"/>
                <w:vertAlign w:val="baseline"/>
                <w:lang w:eastAsia="zh-CN"/>
              </w:rPr>
              <w:t>任现职以来，</w:t>
            </w:r>
            <w:r>
              <w:rPr>
                <w:rFonts w:hint="eastAsia" w:asciiTheme="minorEastAsia" w:hAnsiTheme="minorEastAsia" w:eastAsiaTheme="minorEastAsia" w:cstheme="minorEastAsia"/>
                <w:b w:val="0"/>
                <w:bCs w:val="0"/>
                <w:vertAlign w:val="baseline"/>
                <w:lang w:val="en-US" w:eastAsia="zh-CN"/>
              </w:rPr>
              <w:t>2007年10月至2023年10月，</w:t>
            </w:r>
            <w:r>
              <w:rPr>
                <w:rFonts w:hint="eastAsia" w:asciiTheme="minorEastAsia" w:hAnsiTheme="minorEastAsia" w:eastAsiaTheme="minorEastAsia" w:cstheme="minorEastAsia"/>
                <w:vertAlign w:val="baseline"/>
                <w:lang w:eastAsia="zh-CN"/>
              </w:rPr>
              <w:t>课堂教学时量年均超</w:t>
            </w:r>
            <w:r>
              <w:rPr>
                <w:rFonts w:hint="eastAsia" w:asciiTheme="minorEastAsia" w:hAnsiTheme="minorEastAsia" w:eastAsiaTheme="minorEastAsia" w:cstheme="minorEastAsia"/>
                <w:vertAlign w:val="baseline"/>
                <w:lang w:val="en-US" w:eastAsia="zh-CN"/>
              </w:rPr>
              <w:t>40学时；</w:t>
            </w:r>
          </w:p>
          <w:p>
            <w:pPr>
              <w:numPr>
                <w:ilvl w:val="0"/>
                <w:numId w:val="0"/>
              </w:numPr>
              <w:jc w:val="left"/>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b w:val="0"/>
                <w:bCs w:val="0"/>
                <w:vertAlign w:val="baseline"/>
                <w:lang w:val="en-US" w:eastAsia="zh-CN"/>
              </w:rPr>
              <w:t>2.2007年10月至2023年10月，任现职以来不间断教学一线执教（会计专业责任教师岗位）16年；</w:t>
            </w:r>
          </w:p>
          <w:p>
            <w:pPr>
              <w:numPr>
                <w:ilvl w:val="0"/>
                <w:numId w:val="0"/>
              </w:numPr>
              <w:ind w:leftChars="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3.教育教学改革发展优秀成果三等奖，排名第一，</w:t>
            </w:r>
            <w:r>
              <w:rPr>
                <w:rFonts w:hint="eastAsia" w:asciiTheme="minorEastAsia" w:hAnsiTheme="minorEastAsia" w:cstheme="minorEastAsia"/>
                <w:sz w:val="21"/>
                <w:szCs w:val="21"/>
                <w:lang w:val="en-US" w:eastAsia="zh-CN"/>
              </w:rPr>
              <w:t>湖南省教育科学研究院</w:t>
            </w:r>
            <w:r>
              <w:rPr>
                <w:rFonts w:hint="eastAsia" w:asciiTheme="minorEastAsia" w:hAnsiTheme="minorEastAsia" w:eastAsiaTheme="minorEastAsia" w:cstheme="minorEastAsia"/>
                <w:sz w:val="21"/>
                <w:szCs w:val="21"/>
                <w:lang w:val="en-US" w:eastAsia="zh-CN"/>
              </w:rPr>
              <w:t>，2014年；</w:t>
            </w:r>
          </w:p>
          <w:p>
            <w:pPr>
              <w:numPr>
                <w:ilvl w:val="0"/>
                <w:numId w:val="0"/>
              </w:numPr>
              <w:ind w:leftChars="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4.教研论文一等奖，排名第一，湘鄂渝黔四省市边区电大教育研究协作会，2007年；</w:t>
            </w:r>
          </w:p>
          <w:p>
            <w:pPr>
              <w:numPr>
                <w:ilvl w:val="0"/>
                <w:numId w:val="0"/>
              </w:numPr>
              <w:ind w:leftChars="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5.教研论文二等奖，排名第一，湘鄂渝黔四省市边区电大教育研究协作会，2009年；</w:t>
            </w:r>
          </w:p>
          <w:p>
            <w:pPr>
              <w:numPr>
                <w:ilvl w:val="0"/>
                <w:numId w:val="0"/>
              </w:numPr>
              <w:ind w:leftChars="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5.教研论文一等奖，排名第一，湘鄂渝黔四省市边区电大教育研究协作会，2011年；</w:t>
            </w:r>
          </w:p>
          <w:p>
            <w:pPr>
              <w:numPr>
                <w:ilvl w:val="0"/>
                <w:numId w:val="0"/>
              </w:numPr>
              <w:ind w:leftChars="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6.教研论文一等奖，排名第一，湘鄂渝黔四省市边区电大教育研究协作会，2014年；</w:t>
            </w:r>
          </w:p>
          <w:p>
            <w:pPr>
              <w:numPr>
                <w:ilvl w:val="0"/>
                <w:numId w:val="0"/>
              </w:numPr>
              <w:ind w:leftChars="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7.教学研究类论文二等奖，排名第一，湖南广播电视大学，2015年；</w:t>
            </w:r>
          </w:p>
          <w:p>
            <w:pPr>
              <w:numPr>
                <w:ilvl w:val="0"/>
                <w:numId w:val="0"/>
              </w:numPr>
              <w:ind w:leftChars="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8.优秀论文指导老师，排名第一， 湖南广播电视大学，2016年（1名学生获二等奖，2名学生获三等奖；</w:t>
            </w:r>
          </w:p>
          <w:p>
            <w:pPr>
              <w:numPr>
                <w:ilvl w:val="0"/>
                <w:numId w:val="0"/>
              </w:numPr>
              <w:ind w:leftChars="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9.会计技能竞赛优秀指导教师，排名第一， 湖南开放大学，2021年(3名学生获二等奖，1名学生获三等奖）；</w:t>
            </w:r>
          </w:p>
          <w:p>
            <w:pPr>
              <w:numPr>
                <w:ilvl w:val="0"/>
                <w:numId w:val="0"/>
              </w:numPr>
              <w:ind w:leftChars="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10.首届经济管理类案例设计与分析大赛优秀指导教师，排名第一， 湖南开放大学，2022年（1名学生获二等奖）；</w:t>
            </w:r>
          </w:p>
          <w:p>
            <w:pPr>
              <w:numPr>
                <w:ilvl w:val="0"/>
                <w:numId w:val="0"/>
              </w:numPr>
              <w:ind w:leftChars="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11.系统地为本、专科学生讲授《基础会计》、《中级财务会计》等会计专业课程；</w:t>
            </w:r>
          </w:p>
          <w:p>
            <w:pPr>
              <w:numPr>
                <w:ilvl w:val="0"/>
                <w:numId w:val="0"/>
              </w:numPr>
              <w:ind w:leftChars="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12.教案评优；</w:t>
            </w:r>
          </w:p>
          <w:p>
            <w:pPr>
              <w:numPr>
                <w:ilvl w:val="0"/>
                <w:numId w:val="0"/>
              </w:numPr>
              <w:ind w:leftChars="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13.第三届微课教学比赛一等奖，排名第一，湖南广播电视大学，2016年；</w:t>
            </w:r>
          </w:p>
          <w:p>
            <w:pPr>
              <w:numPr>
                <w:ilvl w:val="0"/>
                <w:numId w:val="0"/>
              </w:numPr>
              <w:ind w:leftChars="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14.文化建设征文三等奖，排名第一，湖南广播电视大学，2013年；</w:t>
            </w:r>
          </w:p>
          <w:p>
            <w:pPr>
              <w:numPr>
                <w:ilvl w:val="0"/>
                <w:numId w:val="0"/>
              </w:numPr>
              <w:ind w:leftChars="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15.读书征文活动教师组三等奖，排名第一，湖南广播电视大学，2014年</w:t>
            </w:r>
          </w:p>
          <w:p>
            <w:pPr>
              <w:numPr>
                <w:ilvl w:val="0"/>
                <w:numId w:val="0"/>
              </w:numPr>
              <w:ind w:leftChars="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16.阅读征文教师组二等奖，排名第一，湖南广播电视大学，2015年；</w:t>
            </w:r>
          </w:p>
          <w:p>
            <w:pPr>
              <w:numPr>
                <w:ilvl w:val="0"/>
                <w:numId w:val="0"/>
              </w:numPr>
              <w:ind w:leftChars="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17.教学故事征文教师组三等奖，排名第一，湖南广播电视大学，2015年；</w:t>
            </w:r>
          </w:p>
          <w:p>
            <w:pPr>
              <w:numPr>
                <w:ilvl w:val="0"/>
                <w:numId w:val="0"/>
              </w:numPr>
              <w:ind w:leftChars="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18.个人理财，2022年湖南开放大学，省开一级统筹课程网络教学团队建设项目成员；</w:t>
            </w:r>
          </w:p>
          <w:p>
            <w:pPr>
              <w:numPr>
                <w:ilvl w:val="0"/>
                <w:numId w:val="0"/>
              </w:numPr>
              <w:ind w:leftChars="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19.会计学骨干教师研修，2022年国家开放大学2206期；</w:t>
            </w:r>
          </w:p>
          <w:p>
            <w:pPr>
              <w:numPr>
                <w:ilvl w:val="0"/>
                <w:numId w:val="0"/>
              </w:numPr>
              <w:ind w:leftChars="0"/>
              <w:jc w:val="left"/>
              <w:rPr>
                <w:rFonts w:hint="eastAsia" w:asciiTheme="minorEastAsia" w:hAnsiTheme="minorEastAsia" w:eastAsiaTheme="minorEastAsia" w:cstheme="minorEastAsia"/>
                <w:vertAlign w:val="baseline"/>
                <w:lang w:val="en-US" w:eastAsia="zh-CN"/>
              </w:rPr>
            </w:pPr>
            <w:r>
              <w:rPr>
                <w:rFonts w:hint="eastAsia" w:asciiTheme="minorEastAsia" w:hAnsiTheme="minorEastAsia" w:eastAsiaTheme="minorEastAsia" w:cstheme="minorEastAsia"/>
                <w:sz w:val="21"/>
                <w:szCs w:val="21"/>
                <w:lang w:val="en-US" w:eastAsia="zh-CN"/>
              </w:rPr>
              <w:t>20.会计学专业毕业论文（设计）答辩主持人培训，2023年湖南开放大学，通过考核，具备答辩主持人资格。</w:t>
            </w:r>
          </w:p>
          <w:p>
            <w:pPr>
              <w:jc w:val="left"/>
              <w:rPr>
                <w:rFonts w:hint="default"/>
                <w:vertAlign w:val="baseline"/>
                <w:lang w:val="en-US" w:eastAsia="zh-CN"/>
              </w:rPr>
            </w:pPr>
          </w:p>
          <w:p>
            <w:pPr>
              <w:jc w:val="left"/>
              <w:rPr>
                <w:rFonts w:hint="default"/>
                <w:b w:val="0"/>
                <w:bCs w:val="0"/>
                <w:vertAlign w:val="baseline"/>
                <w:lang w:val="en-US" w:eastAsia="zh-CN"/>
              </w:rPr>
            </w:pPr>
          </w:p>
        </w:tc>
        <w:tc>
          <w:tcPr>
            <w:tcW w:w="871" w:type="dxa"/>
          </w:tcPr>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rPr>
                <w:vertAlign w:val="baseline"/>
              </w:rPr>
            </w:pPr>
            <w:r>
              <w:rPr>
                <w:rFonts w:hint="eastAsia"/>
                <w:vertAlign w:val="baseline"/>
                <w:lang w:eastAsia="zh-CN"/>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0" w:hRule="atLeast"/>
        </w:trPr>
        <w:tc>
          <w:tcPr>
            <w:tcW w:w="525" w:type="dxa"/>
            <w:vMerge w:val="restart"/>
            <w:vAlign w:val="center"/>
          </w:tcPr>
          <w:p>
            <w:pPr>
              <w:jc w:val="center"/>
              <w:rPr>
                <w:b/>
                <w:bCs/>
                <w:vertAlign w:val="baseline"/>
              </w:rPr>
            </w:pPr>
            <w:r>
              <w:rPr>
                <w:rFonts w:hint="eastAsia"/>
                <w:b/>
                <w:bCs/>
                <w:vertAlign w:val="baseline"/>
                <w:lang w:eastAsia="zh-CN"/>
              </w:rPr>
              <w:t>科研成果及业绩</w:t>
            </w:r>
          </w:p>
        </w:tc>
        <w:tc>
          <w:tcPr>
            <w:tcW w:w="835" w:type="dxa"/>
            <w:vAlign w:val="center"/>
          </w:tcPr>
          <w:p>
            <w:pPr>
              <w:jc w:val="both"/>
              <w:rPr>
                <w:rFonts w:hint="default"/>
                <w:vertAlign w:val="baseline"/>
                <w:lang w:val="en-US" w:eastAsia="zh-CN"/>
              </w:rPr>
            </w:pPr>
            <w:r>
              <w:rPr>
                <w:rFonts w:hint="eastAsia"/>
                <w:vertAlign w:val="baseline"/>
                <w:lang w:val="en-US" w:eastAsia="zh-CN"/>
              </w:rPr>
              <w:t>主要论著或论文</w:t>
            </w:r>
          </w:p>
        </w:tc>
        <w:tc>
          <w:tcPr>
            <w:tcW w:w="12386" w:type="dxa"/>
            <w:gridSpan w:val="5"/>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rPr>
              <w:t>平行记账法下资金结存科目应用</w:t>
            </w:r>
            <w:r>
              <w:rPr>
                <w:rFonts w:hint="eastAsia" w:asciiTheme="minorEastAsia" w:hAnsiTheme="minorEastAsia" w:eastAsiaTheme="minorEastAsia" w:cstheme="minorEastAsia"/>
                <w:sz w:val="21"/>
                <w:szCs w:val="21"/>
              </w:rPr>
              <w:softHyphen/>
            </w:r>
            <w:r>
              <w:rPr>
                <w:rFonts w:hint="eastAsia" w:asciiTheme="minorEastAsia" w:hAnsiTheme="minorEastAsia" w:eastAsiaTheme="minorEastAsia" w:cstheme="minorEastAsia"/>
                <w:sz w:val="21"/>
                <w:szCs w:val="21"/>
              </w:rPr>
              <w:t>——基于政府</w:t>
            </w:r>
            <w:r>
              <w:rPr>
                <w:rFonts w:hint="eastAsia" w:asciiTheme="minorEastAsia" w:hAnsiTheme="minorEastAsia" w:eastAsiaTheme="minorEastAsia" w:cstheme="minorEastAsia"/>
                <w:sz w:val="21"/>
                <w:szCs w:val="21"/>
                <w:lang w:eastAsia="zh-CN"/>
              </w:rPr>
              <w:t>会计</w:t>
            </w:r>
            <w:r>
              <w:rPr>
                <w:rFonts w:hint="eastAsia" w:asciiTheme="minorEastAsia" w:hAnsiTheme="minorEastAsia" w:eastAsiaTheme="minorEastAsia" w:cstheme="minorEastAsia"/>
                <w:sz w:val="21"/>
                <w:szCs w:val="21"/>
              </w:rPr>
              <w:t>制度的视角</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sz w:val="21"/>
                <w:szCs w:val="21"/>
              </w:rPr>
              <w:t>新会计</w:t>
            </w:r>
            <w:r>
              <w:rPr>
                <w:rFonts w:hint="eastAsia" w:asciiTheme="minorEastAsia" w:hAnsiTheme="minorEastAsia" w:eastAsiaTheme="minorEastAsia" w:cstheme="minorEastAsia"/>
                <w:sz w:val="21"/>
                <w:szCs w:val="21"/>
                <w:lang w:val="en-US" w:eastAsia="zh-CN"/>
              </w:rPr>
              <w:t>，2020.4，独著，一般刊物，学术期刊第一批2928号（代表作1）</w:t>
            </w:r>
            <w:r>
              <w:rPr>
                <w:rFonts w:hint="eastAsia" w:asciiTheme="minorEastAsia" w:hAnsiTheme="minorEastAsia" w:cstheme="minorEastAsia"/>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w:t>
            </w:r>
            <w:r>
              <w:rPr>
                <w:rFonts w:hint="eastAsia" w:asciiTheme="minorEastAsia" w:hAnsiTheme="minorEastAsia" w:eastAsiaTheme="minorEastAsia" w:cstheme="minorEastAsia"/>
                <w:sz w:val="21"/>
                <w:szCs w:val="21"/>
              </w:rPr>
              <w:t>西部民族地区社区教育经费投入现状研究——基于公共财政视角</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继续教育研究</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2021.10，排名第一，一般刊物，学术期刊第一批2513号（代表作2）</w:t>
            </w:r>
            <w:r>
              <w:rPr>
                <w:rFonts w:hint="eastAsia" w:asciiTheme="minorEastAsia" w:hAnsiTheme="minorEastAsia" w:cstheme="minorEastAsia"/>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w:t>
            </w:r>
            <w:r>
              <w:rPr>
                <w:rFonts w:hint="eastAsia" w:asciiTheme="minorEastAsia" w:hAnsiTheme="minorEastAsia" w:eastAsiaTheme="minorEastAsia" w:cstheme="minorEastAsia"/>
                <w:sz w:val="21"/>
                <w:szCs w:val="21"/>
              </w:rPr>
              <w:t>基于数字校园高校财务管理信息化系统现状探析——以地市级电大为例，广东职业技术教育与研究，2020</w:t>
            </w:r>
            <w:r>
              <w:rPr>
                <w:rFonts w:hint="eastAsia" w:asciiTheme="minorEastAsia" w:hAnsiTheme="minorEastAsia" w:eastAsiaTheme="minorEastAsia" w:cstheme="minorEastAsia"/>
                <w:sz w:val="21"/>
                <w:szCs w:val="21"/>
                <w:lang w:val="en-US" w:eastAsia="zh-CN"/>
              </w:rPr>
              <w:t>.6</w:t>
            </w:r>
            <w:r>
              <w:rPr>
                <w:rFonts w:hint="eastAsia" w:asciiTheme="minorEastAsia" w:hAnsiTheme="minorEastAsia" w:eastAsiaTheme="minorEastAsia" w:cstheme="minorEastAsia"/>
                <w:sz w:val="21"/>
                <w:szCs w:val="21"/>
              </w:rPr>
              <w:t>，独著</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一般刊物，学术期刊第一批4724号</w:t>
            </w:r>
            <w:r>
              <w:rPr>
                <w:rFonts w:hint="eastAsia" w:asciiTheme="minorEastAsia" w:hAnsiTheme="minorEastAsia" w:cstheme="minorEastAsia"/>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val="en-US" w:eastAsia="zh-CN"/>
              </w:rPr>
              <w:t>4.</w:t>
            </w:r>
            <w:r>
              <w:rPr>
                <w:rFonts w:hint="eastAsia" w:asciiTheme="minorEastAsia" w:hAnsiTheme="minorEastAsia" w:eastAsiaTheme="minorEastAsia" w:cstheme="minorEastAsia"/>
                <w:sz w:val="21"/>
                <w:szCs w:val="21"/>
              </w:rPr>
              <w:t>政府会计制度下高校应付职工薪酬核算实务探讨，国际商务财会，2020</w:t>
            </w:r>
            <w:r>
              <w:rPr>
                <w:rFonts w:hint="eastAsia" w:asciiTheme="minorEastAsia" w:hAnsiTheme="minorEastAsia" w:eastAsiaTheme="minorEastAsia" w:cstheme="minorEastAsia"/>
                <w:sz w:val="21"/>
                <w:szCs w:val="21"/>
                <w:lang w:val="en-US" w:eastAsia="zh-CN"/>
              </w:rPr>
              <w:t>.8</w:t>
            </w:r>
            <w:r>
              <w:rPr>
                <w:rFonts w:hint="eastAsia" w:asciiTheme="minorEastAsia" w:hAnsiTheme="minorEastAsia" w:eastAsiaTheme="minorEastAsia" w:cstheme="minorEastAsia"/>
                <w:sz w:val="21"/>
                <w:szCs w:val="21"/>
              </w:rPr>
              <w:t>，独著</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一般刊物，学术期刊第一批1313号</w:t>
            </w:r>
            <w:r>
              <w:rPr>
                <w:rFonts w:hint="eastAsia" w:asciiTheme="minorEastAsia" w:hAnsiTheme="minorEastAsia" w:cstheme="minorEastAsia"/>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val="en-US" w:eastAsia="zh-CN"/>
              </w:rPr>
              <w:t>5.</w:t>
            </w:r>
            <w:r>
              <w:rPr>
                <w:rFonts w:hint="eastAsia" w:asciiTheme="minorEastAsia" w:hAnsiTheme="minorEastAsia" w:eastAsiaTheme="minorEastAsia" w:cstheme="minorEastAsia"/>
                <w:sz w:val="21"/>
                <w:szCs w:val="21"/>
              </w:rPr>
              <w:t>事业单位个人使用固定资产私有化管理——以办公电脑为例，边疆经济与文化，2017（1），独著</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一般刊物，学术期刊第一批2536号</w:t>
            </w:r>
            <w:r>
              <w:rPr>
                <w:rFonts w:hint="eastAsia" w:asciiTheme="minorEastAsia" w:hAnsiTheme="minorEastAsia" w:cstheme="minorEastAsia"/>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rPr>
                <w:rFonts w:hint="default" w:ascii="宋体" w:hAnsi="宋体" w:eastAsiaTheme="minorEastAsia"/>
                <w:sz w:val="18"/>
                <w:szCs w:val="18"/>
                <w:lang w:val="en-US" w:eastAsia="zh-CN"/>
              </w:rPr>
            </w:pPr>
            <w:r>
              <w:rPr>
                <w:rFonts w:hint="eastAsia" w:asciiTheme="minorEastAsia" w:hAnsiTheme="minorEastAsia" w:eastAsiaTheme="minorEastAsia" w:cstheme="minorEastAsia"/>
                <w:sz w:val="21"/>
                <w:szCs w:val="21"/>
                <w:lang w:val="en-US" w:eastAsia="zh-CN"/>
              </w:rPr>
              <w:t>6.</w:t>
            </w:r>
            <w:r>
              <w:rPr>
                <w:rFonts w:hint="eastAsia" w:asciiTheme="minorEastAsia" w:hAnsiTheme="minorEastAsia" w:eastAsiaTheme="minorEastAsia" w:cstheme="minorEastAsia"/>
                <w:sz w:val="21"/>
                <w:szCs w:val="21"/>
              </w:rPr>
              <w:t>国家“十三五”规划精品课程配套教材《个人理财实务》，电子科技大学出版社，2012年4月，参编。</w:t>
            </w:r>
          </w:p>
        </w:tc>
        <w:tc>
          <w:tcPr>
            <w:tcW w:w="871" w:type="dxa"/>
            <w:vMerge w:val="restart"/>
            <w:vAlign w:val="top"/>
          </w:tcPr>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1" w:hRule="atLeast"/>
        </w:trPr>
        <w:tc>
          <w:tcPr>
            <w:tcW w:w="525" w:type="dxa"/>
            <w:vMerge w:val="continue"/>
            <w:vAlign w:val="center"/>
          </w:tcPr>
          <w:p>
            <w:pPr>
              <w:jc w:val="both"/>
            </w:pPr>
          </w:p>
        </w:tc>
        <w:tc>
          <w:tcPr>
            <w:tcW w:w="835" w:type="dxa"/>
            <w:vAlign w:val="center"/>
          </w:tcPr>
          <w:p>
            <w:pPr>
              <w:jc w:val="both"/>
              <w:rPr>
                <w:rFonts w:hint="default" w:eastAsiaTheme="minorEastAsia"/>
                <w:lang w:val="en-US" w:eastAsia="zh-CN"/>
              </w:rPr>
            </w:pPr>
            <w:r>
              <w:rPr>
                <w:rFonts w:hint="eastAsia"/>
                <w:lang w:val="en-US" w:eastAsia="zh-CN"/>
              </w:rPr>
              <w:t>承担或参与的科研技术开放项目及获奖情况</w:t>
            </w:r>
          </w:p>
        </w:tc>
        <w:tc>
          <w:tcPr>
            <w:tcW w:w="12386" w:type="dxa"/>
            <w:gridSpan w:val="5"/>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宋体" w:hAnsi="宋体" w:eastAsiaTheme="minorEastAsia"/>
                <w:sz w:val="21"/>
                <w:szCs w:val="21"/>
                <w:lang w:eastAsia="zh-CN"/>
              </w:rPr>
            </w:pPr>
            <w:r>
              <w:rPr>
                <w:rFonts w:hint="eastAsia" w:ascii="宋体" w:hAnsi="宋体"/>
                <w:sz w:val="21"/>
                <w:szCs w:val="21"/>
              </w:rPr>
              <w:t>1.政府会计制度下民族地区高校会计实务研究</w:t>
            </w:r>
            <w:r>
              <w:rPr>
                <w:rFonts w:hint="eastAsia" w:ascii="宋体" w:hAnsi="宋体"/>
                <w:sz w:val="21"/>
                <w:szCs w:val="21"/>
                <w:lang w:eastAsia="zh-CN"/>
              </w:rPr>
              <w:t>，</w:t>
            </w:r>
            <w:r>
              <w:rPr>
                <w:rFonts w:hint="eastAsia" w:ascii="宋体" w:hAnsi="宋体"/>
                <w:sz w:val="21"/>
                <w:szCs w:val="21"/>
              </w:rPr>
              <w:t>2019年湖南广播电视大学科研课题</w:t>
            </w:r>
            <w:r>
              <w:rPr>
                <w:rFonts w:hint="eastAsia" w:ascii="宋体" w:hAnsi="宋体"/>
                <w:sz w:val="21"/>
                <w:szCs w:val="21"/>
                <w:lang w:eastAsia="zh-CN"/>
              </w:rPr>
              <w:t>，</w:t>
            </w:r>
            <w:r>
              <w:rPr>
                <w:rFonts w:hint="eastAsia" w:ascii="宋体" w:hAnsi="宋体"/>
                <w:sz w:val="21"/>
                <w:szCs w:val="21"/>
              </w:rPr>
              <w:t>XDK2019-C-7，</w:t>
            </w:r>
            <w:r>
              <w:rPr>
                <w:rFonts w:hint="eastAsia" w:ascii="宋体" w:hAnsi="宋体"/>
                <w:sz w:val="21"/>
                <w:szCs w:val="21"/>
                <w:lang w:eastAsia="zh-CN"/>
              </w:rPr>
              <w:t>排名第一，</w:t>
            </w:r>
            <w:r>
              <w:rPr>
                <w:rFonts w:hint="eastAsia" w:ascii="宋体" w:hAnsi="宋体"/>
                <w:sz w:val="21"/>
                <w:szCs w:val="21"/>
              </w:rPr>
              <w:t>结题</w:t>
            </w:r>
            <w:r>
              <w:rPr>
                <w:rFonts w:hint="eastAsia" w:ascii="宋体" w:hAnsi="宋体"/>
                <w:sz w:val="21"/>
                <w:szCs w:val="21"/>
                <w:lang w:eastAsia="zh-CN"/>
              </w:rPr>
              <w:t>。</w:t>
            </w:r>
            <w:r>
              <w:rPr>
                <w:rFonts w:hint="eastAsia" w:ascii="宋体" w:hAnsi="宋体"/>
                <w:sz w:val="21"/>
                <w:szCs w:val="21"/>
              </w:rPr>
              <w:t>成果论文政府会计制度下高校应付职工薪酬核算实务探讨全文在湖南会计报转载刊发</w:t>
            </w:r>
            <w:r>
              <w:rPr>
                <w:rFonts w:hint="eastAsia" w:ascii="宋体" w:hAnsi="宋体"/>
                <w:sz w:val="21"/>
                <w:szCs w:val="21"/>
                <w:lang w:eastAsia="zh-CN"/>
              </w:rPr>
              <w:t>；</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宋体" w:hAnsi="宋体"/>
                <w:sz w:val="21"/>
                <w:szCs w:val="21"/>
              </w:rPr>
            </w:pPr>
            <w:r>
              <w:rPr>
                <w:rFonts w:hint="eastAsia" w:ascii="宋体" w:hAnsi="宋体"/>
                <w:sz w:val="21"/>
                <w:szCs w:val="21"/>
              </w:rPr>
              <w:t>2.地方高校会计教育嵌入湘西州农村经济管理应用型人才培养路径研究——以（村）社区基层组织人才定向培养试点为例</w:t>
            </w:r>
            <w:r>
              <w:rPr>
                <w:rFonts w:hint="eastAsia" w:ascii="宋体" w:hAnsi="宋体"/>
                <w:sz w:val="21"/>
                <w:szCs w:val="21"/>
                <w:lang w:eastAsia="zh-CN"/>
              </w:rPr>
              <w:t>，</w:t>
            </w:r>
            <w:r>
              <w:rPr>
                <w:rFonts w:hint="eastAsia" w:ascii="宋体" w:hAnsi="宋体"/>
                <w:sz w:val="21"/>
                <w:szCs w:val="21"/>
              </w:rPr>
              <w:t>2021年湘西自治州社科课题</w:t>
            </w:r>
            <w:r>
              <w:rPr>
                <w:rFonts w:hint="eastAsia" w:ascii="宋体" w:hAnsi="宋体"/>
                <w:sz w:val="21"/>
                <w:szCs w:val="21"/>
                <w:lang w:eastAsia="zh-CN"/>
              </w:rPr>
              <w:t>，</w:t>
            </w:r>
            <w:r>
              <w:rPr>
                <w:rFonts w:hint="eastAsia" w:ascii="宋体" w:hAnsi="宋体"/>
                <w:sz w:val="21"/>
                <w:szCs w:val="21"/>
              </w:rPr>
              <w:t>SK202117</w:t>
            </w:r>
            <w:r>
              <w:rPr>
                <w:rFonts w:hint="eastAsia" w:ascii="宋体" w:hAnsi="宋体"/>
                <w:sz w:val="21"/>
                <w:szCs w:val="21"/>
                <w:lang w:eastAsia="zh-CN"/>
              </w:rPr>
              <w:t>，排名第一，在研；</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宋体" w:hAnsi="宋体" w:eastAsiaTheme="minorEastAsia"/>
                <w:sz w:val="21"/>
                <w:szCs w:val="21"/>
                <w:lang w:eastAsia="zh-CN"/>
              </w:rPr>
            </w:pPr>
            <w:r>
              <w:rPr>
                <w:rFonts w:hint="eastAsia" w:ascii="宋体" w:hAnsi="宋体"/>
                <w:sz w:val="21"/>
                <w:szCs w:val="21"/>
                <w:lang w:val="en-US" w:eastAsia="zh-CN"/>
              </w:rPr>
              <w:t>3</w:t>
            </w:r>
            <w:r>
              <w:rPr>
                <w:rFonts w:hint="eastAsia" w:ascii="宋体" w:hAnsi="宋体"/>
                <w:sz w:val="21"/>
                <w:szCs w:val="21"/>
              </w:rPr>
              <w:t>.市州级开放大学数字校园建设及其在学校管中的应用研究</w:t>
            </w:r>
            <w:r>
              <w:rPr>
                <w:rFonts w:hint="eastAsia" w:ascii="宋体" w:hAnsi="宋体"/>
                <w:sz w:val="21"/>
                <w:szCs w:val="21"/>
                <w:lang w:eastAsia="zh-CN"/>
              </w:rPr>
              <w:t>，</w:t>
            </w:r>
            <w:r>
              <w:rPr>
                <w:rFonts w:hint="eastAsia" w:ascii="宋体" w:hAnsi="宋体"/>
                <w:sz w:val="21"/>
                <w:szCs w:val="21"/>
              </w:rPr>
              <w:t>2016年湖南省教育信息技术研究课题</w:t>
            </w:r>
            <w:r>
              <w:rPr>
                <w:rFonts w:hint="eastAsia" w:ascii="宋体" w:hAnsi="宋体"/>
                <w:sz w:val="21"/>
                <w:szCs w:val="21"/>
                <w:lang w:eastAsia="zh-CN"/>
              </w:rPr>
              <w:t>，</w:t>
            </w:r>
            <w:r>
              <w:rPr>
                <w:rFonts w:hint="eastAsia" w:ascii="宋体" w:hAnsi="宋体"/>
                <w:sz w:val="21"/>
                <w:szCs w:val="21"/>
              </w:rPr>
              <w:t>HNETR16155，</w:t>
            </w:r>
            <w:r>
              <w:rPr>
                <w:rFonts w:hint="eastAsia" w:ascii="宋体" w:hAnsi="宋体"/>
                <w:sz w:val="21"/>
                <w:szCs w:val="21"/>
                <w:lang w:eastAsia="zh-CN"/>
              </w:rPr>
              <w:t>排名第三，</w:t>
            </w:r>
            <w:r>
              <w:rPr>
                <w:rFonts w:hint="eastAsia" w:ascii="宋体" w:hAnsi="宋体"/>
                <w:sz w:val="21"/>
                <w:szCs w:val="21"/>
              </w:rPr>
              <w:t>结题</w:t>
            </w:r>
            <w:r>
              <w:rPr>
                <w:rFonts w:hint="eastAsia" w:ascii="宋体" w:hAnsi="宋体"/>
                <w:sz w:val="21"/>
                <w:szCs w:val="21"/>
                <w:lang w:eastAsia="zh-CN"/>
              </w:rPr>
              <w:t>。</w:t>
            </w:r>
            <w:r>
              <w:rPr>
                <w:rFonts w:hint="eastAsia" w:ascii="宋体" w:hAnsi="宋体"/>
                <w:sz w:val="21"/>
                <w:szCs w:val="21"/>
              </w:rPr>
              <w:t>其中成果之一论文基于数字校园高校财务管理信息化系统现状探析——以地市级电大为例获湖南省财政厅、湖南会计学会会计学术论文三等奖，国家开放大学经济管理类教师优秀论文三等奖，湖南电大经济管理类教师优秀论文二等奖</w:t>
            </w:r>
            <w:r>
              <w:rPr>
                <w:rFonts w:hint="eastAsia" w:ascii="宋体" w:hAnsi="宋体"/>
                <w:sz w:val="21"/>
                <w:szCs w:val="21"/>
                <w:lang w:eastAsia="zh-CN"/>
              </w:rPr>
              <w:t>；</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宋体" w:hAnsi="宋体"/>
                <w:sz w:val="21"/>
                <w:szCs w:val="21"/>
                <w:lang w:eastAsia="zh-CN"/>
              </w:rPr>
            </w:pPr>
            <w:r>
              <w:rPr>
                <w:rFonts w:hint="eastAsia" w:ascii="宋体" w:hAnsi="宋体"/>
                <w:sz w:val="21"/>
                <w:szCs w:val="21"/>
                <w:lang w:val="en-US" w:eastAsia="zh-CN"/>
              </w:rPr>
              <w:t>4</w:t>
            </w:r>
            <w:r>
              <w:rPr>
                <w:rFonts w:hint="eastAsia" w:ascii="宋体" w:hAnsi="宋体"/>
                <w:sz w:val="21"/>
                <w:szCs w:val="21"/>
              </w:rPr>
              <w:t>.少数民族地区社区教育的政策研究</w:t>
            </w:r>
            <w:r>
              <w:rPr>
                <w:rFonts w:hint="eastAsia" w:ascii="宋体" w:hAnsi="宋体"/>
                <w:sz w:val="21"/>
                <w:szCs w:val="21"/>
                <w:lang w:eastAsia="zh-CN"/>
              </w:rPr>
              <w:t>，</w:t>
            </w:r>
            <w:r>
              <w:rPr>
                <w:rFonts w:hint="eastAsia" w:ascii="宋体" w:hAnsi="宋体"/>
                <w:sz w:val="21"/>
                <w:szCs w:val="21"/>
              </w:rPr>
              <w:t>2017年湖南省职业院校教育教学改革研究项目</w:t>
            </w:r>
            <w:r>
              <w:rPr>
                <w:rFonts w:hint="eastAsia" w:ascii="宋体" w:hAnsi="宋体"/>
                <w:sz w:val="21"/>
                <w:szCs w:val="21"/>
                <w:lang w:eastAsia="zh-CN"/>
              </w:rPr>
              <w:t>，</w:t>
            </w:r>
            <w:r>
              <w:rPr>
                <w:rFonts w:hint="eastAsia" w:ascii="宋体" w:hAnsi="宋体"/>
                <w:sz w:val="21"/>
                <w:szCs w:val="21"/>
              </w:rPr>
              <w:t>ZJSB2016033</w:t>
            </w:r>
            <w:r>
              <w:rPr>
                <w:rFonts w:hint="eastAsia" w:ascii="宋体" w:hAnsi="宋体"/>
                <w:sz w:val="21"/>
                <w:szCs w:val="21"/>
                <w:lang w:eastAsia="zh-CN"/>
              </w:rPr>
              <w:t>，</w:t>
            </w:r>
            <w:r>
              <w:rPr>
                <w:rFonts w:hint="eastAsia" w:ascii="宋体" w:hAnsi="宋体"/>
                <w:sz w:val="21"/>
                <w:szCs w:val="21"/>
              </w:rPr>
              <w:t>排</w:t>
            </w:r>
            <w:r>
              <w:rPr>
                <w:rFonts w:hint="eastAsia" w:ascii="宋体" w:hAnsi="宋体"/>
                <w:sz w:val="21"/>
                <w:szCs w:val="21"/>
                <w:lang w:eastAsia="zh-CN"/>
              </w:rPr>
              <w:t>名</w:t>
            </w:r>
            <w:r>
              <w:rPr>
                <w:rFonts w:hint="eastAsia" w:ascii="宋体" w:hAnsi="宋体"/>
                <w:sz w:val="21"/>
                <w:szCs w:val="21"/>
              </w:rPr>
              <w:t>第五</w:t>
            </w:r>
            <w:r>
              <w:rPr>
                <w:rFonts w:hint="eastAsia" w:ascii="宋体" w:hAnsi="宋体"/>
                <w:sz w:val="21"/>
                <w:szCs w:val="21"/>
                <w:lang w:eastAsia="zh-CN"/>
              </w:rPr>
              <w:t>，在研；</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宋体" w:hAnsi="宋体"/>
                <w:sz w:val="21"/>
                <w:szCs w:val="21"/>
                <w:lang w:val="en-US" w:eastAsia="zh-CN"/>
              </w:rPr>
            </w:pPr>
            <w:r>
              <w:rPr>
                <w:rFonts w:hint="eastAsia" w:ascii="宋体" w:hAnsi="宋体"/>
                <w:sz w:val="21"/>
                <w:szCs w:val="21"/>
                <w:lang w:val="en-US" w:eastAsia="zh-CN"/>
              </w:rPr>
              <w:t>5.</w:t>
            </w:r>
            <w:r>
              <w:rPr>
                <w:rFonts w:hint="eastAsia" w:ascii="宋体" w:hAnsi="宋体"/>
                <w:sz w:val="21"/>
                <w:szCs w:val="21"/>
                <w:lang w:eastAsia="zh-CN"/>
              </w:rPr>
              <w:t>会计学术论文</w:t>
            </w:r>
            <w:r>
              <w:rPr>
                <w:rFonts w:hint="eastAsia" w:ascii="宋体" w:hAnsi="宋体"/>
                <w:sz w:val="21"/>
                <w:szCs w:val="21"/>
              </w:rPr>
              <w:t>基于数字校园高校财务管理信息化系统现状探析——以地市级电大为例</w:t>
            </w:r>
            <w:r>
              <w:rPr>
                <w:rFonts w:hint="eastAsia" w:ascii="宋体" w:hAnsi="宋体"/>
                <w:sz w:val="21"/>
                <w:szCs w:val="21"/>
                <w:lang w:eastAsia="zh-CN"/>
              </w:rPr>
              <w:t>，独著，</w:t>
            </w:r>
            <w:r>
              <w:rPr>
                <w:rFonts w:hint="eastAsia" w:ascii="宋体" w:hAnsi="宋体"/>
                <w:sz w:val="21"/>
                <w:szCs w:val="21"/>
                <w:lang w:val="en-US" w:eastAsia="zh-CN"/>
              </w:rPr>
              <w:t>湖南省财政厅/湖南省会计学会会计学术论文三等奖。国家开放大学，经济管理类教师优秀论文会计学类三等奖。湖南广播电视大学，经济管理类教师优秀论文会计学类二等奖。</w:t>
            </w:r>
            <w:r>
              <w:rPr>
                <w:rFonts w:hint="eastAsia" w:ascii="宋体" w:hAnsi="宋体"/>
                <w:sz w:val="21"/>
                <w:szCs w:val="21"/>
              </w:rPr>
              <w:t>2016年湖南省教育信息技术研究课题市州级开放大学数字校园建设及其在学校管中的应用研究</w:t>
            </w:r>
            <w:r>
              <w:rPr>
                <w:rFonts w:hint="eastAsia" w:ascii="宋体" w:hAnsi="宋体"/>
                <w:sz w:val="21"/>
                <w:szCs w:val="21"/>
                <w:lang w:eastAsia="zh-CN"/>
              </w:rPr>
              <w:t>成果，</w:t>
            </w:r>
            <w:r>
              <w:rPr>
                <w:rFonts w:hint="eastAsia" w:ascii="宋体" w:hAnsi="宋体"/>
                <w:sz w:val="21"/>
                <w:szCs w:val="21"/>
              </w:rPr>
              <w:t>HNETR16155</w:t>
            </w:r>
            <w:r>
              <w:rPr>
                <w:rFonts w:hint="eastAsia" w:ascii="宋体" w:hAnsi="宋体"/>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宋体" w:hAnsi="宋体"/>
                <w:sz w:val="21"/>
                <w:szCs w:val="21"/>
                <w:lang w:eastAsia="zh-CN"/>
              </w:rPr>
            </w:pPr>
            <w:r>
              <w:rPr>
                <w:rFonts w:hint="eastAsia" w:ascii="宋体" w:hAnsi="宋体"/>
                <w:sz w:val="21"/>
                <w:szCs w:val="21"/>
                <w:lang w:val="en-US" w:eastAsia="zh-CN"/>
              </w:rPr>
              <w:t>6.</w:t>
            </w:r>
            <w:r>
              <w:rPr>
                <w:rFonts w:hint="eastAsia" w:ascii="宋体" w:hAnsi="宋体"/>
                <w:sz w:val="21"/>
                <w:szCs w:val="21"/>
                <w:lang w:eastAsia="zh-CN"/>
              </w:rPr>
              <w:t>会计学术论文</w:t>
            </w:r>
            <w:r>
              <w:rPr>
                <w:rFonts w:hint="eastAsia" w:ascii="宋体" w:hAnsi="宋体"/>
                <w:sz w:val="21"/>
                <w:szCs w:val="21"/>
              </w:rPr>
              <w:t>平行记账法下资金结存科目应用</w:t>
            </w:r>
            <w:r>
              <w:rPr>
                <w:rFonts w:hint="eastAsia" w:ascii="宋体" w:hAnsi="宋体"/>
                <w:sz w:val="21"/>
                <w:szCs w:val="21"/>
              </w:rPr>
              <w:softHyphen/>
            </w:r>
            <w:r>
              <w:rPr>
                <w:rFonts w:hint="eastAsia" w:ascii="宋体" w:hAnsi="宋体"/>
                <w:sz w:val="21"/>
                <w:szCs w:val="21"/>
              </w:rPr>
              <w:t>——基于政府</w:t>
            </w:r>
            <w:r>
              <w:rPr>
                <w:rFonts w:hint="eastAsia" w:ascii="宋体" w:hAnsi="宋体"/>
                <w:sz w:val="21"/>
                <w:szCs w:val="21"/>
                <w:lang w:eastAsia="zh-CN"/>
              </w:rPr>
              <w:t>会计</w:t>
            </w:r>
            <w:r>
              <w:rPr>
                <w:rFonts w:hint="eastAsia" w:ascii="宋体" w:hAnsi="宋体"/>
                <w:sz w:val="21"/>
                <w:szCs w:val="21"/>
              </w:rPr>
              <w:t>制度的视角</w:t>
            </w:r>
            <w:r>
              <w:rPr>
                <w:rFonts w:hint="eastAsia" w:ascii="宋体" w:hAnsi="宋体"/>
                <w:sz w:val="21"/>
                <w:szCs w:val="21"/>
                <w:lang w:eastAsia="zh-CN"/>
              </w:rPr>
              <w:t>，独著，</w:t>
            </w:r>
            <w:r>
              <w:rPr>
                <w:rFonts w:hint="eastAsia" w:ascii="宋体" w:hAnsi="宋体" w:eastAsia="宋体" w:cs="Times New Roman"/>
                <w:sz w:val="21"/>
                <w:szCs w:val="21"/>
                <w:lang w:val="en-US" w:eastAsia="zh-CN"/>
              </w:rPr>
              <w:t>湖南省会计学会，会计学术论文三等奖，论文被湖南会计报总第515期全文转载。</w:t>
            </w:r>
            <w:r>
              <w:rPr>
                <w:rFonts w:hint="eastAsia" w:ascii="宋体" w:hAnsi="宋体"/>
                <w:sz w:val="21"/>
                <w:szCs w:val="21"/>
                <w:lang w:val="en-US" w:eastAsia="zh-CN"/>
              </w:rPr>
              <w:t>国家开放大学/中国数量经济学会远程教育专业委员会，优秀论文评比三等奖。湖南广播电视大学，经济管理类教师优秀论文会计学类二等奖。2019年</w:t>
            </w:r>
            <w:r>
              <w:rPr>
                <w:rFonts w:hint="eastAsia" w:ascii="宋体" w:hAnsi="宋体"/>
                <w:sz w:val="21"/>
                <w:szCs w:val="21"/>
              </w:rPr>
              <w:t>湖南广播电视大学科研</w:t>
            </w:r>
            <w:r>
              <w:rPr>
                <w:rFonts w:hint="eastAsia" w:ascii="宋体" w:hAnsi="宋体"/>
                <w:sz w:val="21"/>
                <w:szCs w:val="21"/>
                <w:lang w:eastAsia="zh-CN"/>
              </w:rPr>
              <w:t>一般</w:t>
            </w:r>
            <w:r>
              <w:rPr>
                <w:rFonts w:hint="eastAsia" w:ascii="宋体" w:hAnsi="宋体"/>
                <w:sz w:val="21"/>
                <w:szCs w:val="21"/>
              </w:rPr>
              <w:t>课题政府会计制度下民族地区高校会计实务研究</w:t>
            </w:r>
            <w:r>
              <w:rPr>
                <w:rFonts w:hint="eastAsia" w:ascii="宋体" w:hAnsi="宋体"/>
                <w:sz w:val="21"/>
                <w:szCs w:val="21"/>
                <w:lang w:eastAsia="zh-CN"/>
              </w:rPr>
              <w:t>成果，</w:t>
            </w:r>
            <w:r>
              <w:rPr>
                <w:rFonts w:hint="eastAsia" w:ascii="宋体" w:hAnsi="宋体"/>
                <w:sz w:val="21"/>
                <w:szCs w:val="21"/>
              </w:rPr>
              <w:t>XDK2019-C-7</w:t>
            </w:r>
            <w:r>
              <w:rPr>
                <w:rFonts w:hint="eastAsia" w:ascii="宋体" w:hAnsi="宋体"/>
                <w:sz w:val="21"/>
                <w:szCs w:val="21"/>
                <w:lang w:eastAsia="zh-CN"/>
              </w:rPr>
              <w:t>；</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宋体" w:hAnsi="宋体"/>
                <w:sz w:val="21"/>
                <w:szCs w:val="21"/>
                <w:lang w:val="en-US" w:eastAsia="zh-CN"/>
              </w:rPr>
            </w:pPr>
            <w:r>
              <w:rPr>
                <w:rFonts w:hint="eastAsia" w:ascii="宋体" w:hAnsi="宋体" w:eastAsia="宋体" w:cs="Times New Roman"/>
                <w:sz w:val="21"/>
                <w:szCs w:val="21"/>
                <w:lang w:val="en-US" w:eastAsia="zh-CN"/>
              </w:rPr>
              <w:t>7.</w:t>
            </w:r>
            <w:r>
              <w:rPr>
                <w:rFonts w:hint="eastAsia" w:ascii="宋体" w:hAnsi="宋体"/>
                <w:sz w:val="21"/>
                <w:szCs w:val="21"/>
                <w:lang w:eastAsia="zh-CN"/>
              </w:rPr>
              <w:t>浅谈事业单位个人使用类固定资产私有化管理——以办公电脑为例，</w:t>
            </w:r>
            <w:r>
              <w:rPr>
                <w:rFonts w:hint="eastAsia" w:ascii="宋体" w:hAnsi="宋体" w:eastAsia="宋体" w:cs="Times New Roman"/>
                <w:sz w:val="21"/>
                <w:szCs w:val="21"/>
                <w:lang w:val="en-US" w:eastAsia="zh-CN"/>
              </w:rPr>
              <w:t>学科研究类论文三等奖，排名第一湖南广播电视大学2015年。</w:t>
            </w:r>
          </w:p>
        </w:tc>
        <w:tc>
          <w:tcPr>
            <w:tcW w:w="871" w:type="dxa"/>
            <w:vMerge w:val="continue"/>
            <w:vAlign w:val="top"/>
          </w:tcPr>
          <w:p>
            <w:pPr>
              <w:jc w:val="both"/>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2" w:hRule="atLeast"/>
        </w:trPr>
        <w:tc>
          <w:tcPr>
            <w:tcW w:w="525" w:type="dxa"/>
            <w:vAlign w:val="center"/>
          </w:tcPr>
          <w:p>
            <w:pPr>
              <w:jc w:val="center"/>
              <w:rPr>
                <w:b/>
                <w:bCs/>
                <w:vertAlign w:val="baseline"/>
              </w:rPr>
            </w:pPr>
            <w:r>
              <w:rPr>
                <w:rFonts w:hint="eastAsia"/>
                <w:b/>
                <w:bCs/>
                <w:vertAlign w:val="baseline"/>
                <w:lang w:eastAsia="zh-CN"/>
              </w:rPr>
              <w:t>社会服务</w:t>
            </w:r>
          </w:p>
        </w:tc>
        <w:tc>
          <w:tcPr>
            <w:tcW w:w="13221" w:type="dxa"/>
            <w:gridSpan w:val="6"/>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1.双师双能型教师条件选项第一条，取得与本专业相关的非教师系列中级及以上专业技术职称或专业技术类职业资格（或行业执业资格）：具有会计师中级职称；</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2.双师双能型教师条件选项第三条，近5年中有2年以上（可累计计算）在企业、行业、政府部门、事业单位一线从事本专业相关实际工作的经历：湘西自治州州级预算绩效评审专家(2020年11月—2025年10月)。</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default"/>
                <w:sz w:val="21"/>
                <w:szCs w:val="21"/>
                <w:vertAlign w:val="baseline"/>
                <w:lang w:val="en-US" w:eastAsia="zh-CN"/>
              </w:rPr>
            </w:pPr>
          </w:p>
        </w:tc>
        <w:tc>
          <w:tcPr>
            <w:tcW w:w="871" w:type="dxa"/>
            <w:vAlign w:val="top"/>
          </w:tcPr>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并盖章</w:t>
            </w:r>
          </w:p>
        </w:tc>
      </w:tr>
    </w:tbl>
    <w:p/>
    <w:sectPr>
      <w:headerReference r:id="rId3" w:type="default"/>
      <w:footerReference r:id="rId4" w:type="default"/>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1" w:fontKey="{B7613BEF-B770-4C19-9322-11A427A60AF1}"/>
  </w:font>
  <w:font w:name="方正公文小标宋">
    <w:panose1 w:val="02000500000000000000"/>
    <w:charset w:val="86"/>
    <w:family w:val="auto"/>
    <w:pitch w:val="default"/>
    <w:sig w:usb0="A00002BF" w:usb1="38CF7CFA" w:usb2="00000016" w:usb3="00000000" w:csb0="00040001" w:csb1="00000000"/>
    <w:embedRegular r:id="rId2" w:fontKey="{2407716B-0D85-40B6-8DBB-8688E0EDCE9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第</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  \* MERGEFORMAT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t xml:space="preserve"> 页 共 </w:t>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NUMPAGES  \* MERGEFORMAT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4</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t>第</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  \* MERGEFORMAT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t xml:space="preserve"> 页 共 </w:t>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NUMPAGES  \* MERGEFORMAT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4</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ascii="方正公文小标宋" w:hAnsi="方正公文小标宋" w:eastAsia="方正公文小标宋" w:cs="方正公文小标宋"/>
        <w:sz w:val="36"/>
        <w:szCs w:val="36"/>
        <w:lang w:val="en-US" w:eastAsia="zh-CN"/>
      </w:rPr>
    </w:pPr>
    <w:r>
      <w:rPr>
        <w:rFonts w:hint="eastAsia" w:ascii="方正公文小标宋" w:hAnsi="方正公文小标宋" w:eastAsia="方正公文小标宋" w:cs="方正公文小标宋"/>
        <w:sz w:val="36"/>
        <w:szCs w:val="36"/>
        <w:lang w:val="en-US" w:eastAsia="zh-CN"/>
      </w:rPr>
      <w:t>湖南开放大学高等学校教师系列（含实验技术）专业技术职称申报人员情况公示表</w:t>
    </w:r>
  </w:p>
  <w:p>
    <w:pPr>
      <w:pStyle w:val="3"/>
      <w:jc w:val="left"/>
      <w:rPr>
        <w:rFonts w:hint="default" w:eastAsiaTheme="minorEastAsia"/>
        <w:sz w:val="30"/>
        <w:szCs w:val="30"/>
        <w:u w:val="single"/>
        <w:lang w:val="en-US" w:eastAsia="zh-CN"/>
      </w:rPr>
    </w:pPr>
    <w:r>
      <w:rPr>
        <w:rFonts w:hint="eastAsia"/>
        <w:sz w:val="30"/>
        <w:szCs w:val="30"/>
        <w:lang w:val="en-US" w:eastAsia="zh-CN"/>
      </w:rPr>
      <w:t>单位：</w:t>
    </w:r>
    <w:r>
      <w:rPr>
        <w:rFonts w:hint="eastAsia"/>
        <w:bCs/>
        <w:sz w:val="32"/>
        <w:szCs w:val="32"/>
        <w:u w:val="single"/>
      </w:rPr>
      <w:t>湘西开放大学</w:t>
    </w:r>
    <w:r>
      <w:rPr>
        <w:rFonts w:hint="eastAsia"/>
        <w:sz w:val="30"/>
        <w:szCs w:val="30"/>
        <w:u w:val="none"/>
        <w:lang w:val="en-US" w:eastAsia="zh-CN"/>
      </w:rPr>
      <w:t xml:space="preserve">  </w:t>
    </w:r>
    <w:r>
      <w:rPr>
        <w:rFonts w:hint="eastAsia"/>
        <w:sz w:val="30"/>
        <w:szCs w:val="30"/>
        <w:lang w:eastAsia="zh-CN"/>
      </w:rPr>
      <w:t>姓名：</w:t>
    </w:r>
    <w:r>
      <w:rPr>
        <w:rFonts w:hint="eastAsia"/>
        <w:bCs/>
        <w:sz w:val="32"/>
        <w:szCs w:val="32"/>
        <w:u w:val="single"/>
      </w:rPr>
      <w:t>彭芳</w:t>
    </w:r>
    <w:r>
      <w:rPr>
        <w:bCs/>
        <w:sz w:val="32"/>
        <w:szCs w:val="32"/>
        <w:u w:val="single"/>
      </w:rPr>
      <w:t xml:space="preserve"> </w:t>
    </w:r>
    <w:r>
      <w:rPr>
        <w:rFonts w:hint="eastAsia"/>
        <w:sz w:val="30"/>
        <w:szCs w:val="30"/>
        <w:u w:val="single"/>
        <w:lang w:val="en-US" w:eastAsia="zh-CN"/>
      </w:rPr>
      <w:t xml:space="preserve"> </w:t>
    </w:r>
    <w:r>
      <w:rPr>
        <w:rFonts w:hint="eastAsia"/>
        <w:sz w:val="30"/>
        <w:szCs w:val="30"/>
        <w:u w:val="none"/>
        <w:lang w:val="en-US" w:eastAsia="zh-CN"/>
      </w:rPr>
      <w:t xml:space="preserve"> 申报职称：</w:t>
    </w:r>
    <w:r>
      <w:rPr>
        <w:rFonts w:hint="eastAsia"/>
        <w:sz w:val="30"/>
        <w:szCs w:val="30"/>
        <w:u w:val="single"/>
        <w:lang w:val="en-US" w:eastAsia="zh-CN"/>
      </w:rPr>
      <w:t xml:space="preserve"> </w:t>
    </w:r>
    <w:r>
      <w:rPr>
        <w:rFonts w:hint="eastAsia"/>
        <w:bCs/>
        <w:sz w:val="32"/>
        <w:szCs w:val="32"/>
        <w:u w:val="single"/>
      </w:rPr>
      <w:t>副教授</w:t>
    </w:r>
    <w:r>
      <w:rPr>
        <w:rFonts w:hint="eastAsia"/>
        <w:sz w:val="30"/>
        <w:szCs w:val="30"/>
        <w:u w:val="single"/>
        <w:lang w:val="en-US" w:eastAsia="zh-CN"/>
      </w:rPr>
      <w:t xml:space="preserve"> </w:t>
    </w:r>
    <w:r>
      <w:rPr>
        <w:rFonts w:hint="eastAsia"/>
        <w:sz w:val="30"/>
        <w:szCs w:val="30"/>
        <w:u w:val="none"/>
        <w:lang w:val="en-US" w:eastAsia="zh-CN"/>
      </w:rPr>
      <w:t xml:space="preserve"> 学科（专业）：</w:t>
    </w:r>
    <w:r>
      <w:rPr>
        <w:rFonts w:hint="eastAsia"/>
        <w:bCs/>
        <w:sz w:val="32"/>
        <w:szCs w:val="32"/>
        <w:u w:val="single"/>
      </w:rPr>
      <w:t>经济学</w:t>
    </w:r>
    <w:r>
      <w:rPr>
        <w:rFonts w:hint="eastAsia"/>
        <w:sz w:val="30"/>
        <w:szCs w:val="30"/>
        <w:u w:val="single"/>
        <w:lang w:val="en-US" w:eastAsia="zh-CN"/>
      </w:rPr>
      <w:t xml:space="preserve"> </w:t>
    </w:r>
    <w:r>
      <w:rPr>
        <w:rFonts w:hint="eastAsia"/>
        <w:sz w:val="30"/>
        <w:szCs w:val="30"/>
        <w:u w:val="none"/>
        <w:lang w:val="en-US" w:eastAsia="zh-CN"/>
      </w:rPr>
      <w:t xml:space="preserve">  申报类别：</w:t>
    </w:r>
    <w:r>
      <w:rPr>
        <w:rFonts w:hint="eastAsia"/>
        <w:sz w:val="30"/>
        <w:szCs w:val="30"/>
        <w:u w:val="single"/>
        <w:lang w:val="en-US" w:eastAsia="zh-CN"/>
      </w:rPr>
      <w:t xml:space="preserve"> 教学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JhMTRkZjhkMzdlMmJkNzI5Y2Q1Y2JiOTFiYmEyNGYifQ=="/>
  </w:docVars>
  <w:rsids>
    <w:rsidRoot w:val="56A9350E"/>
    <w:rsid w:val="02B40675"/>
    <w:rsid w:val="02D10809"/>
    <w:rsid w:val="038340E2"/>
    <w:rsid w:val="03EC0177"/>
    <w:rsid w:val="03EF1A15"/>
    <w:rsid w:val="04A7703E"/>
    <w:rsid w:val="04F43C59"/>
    <w:rsid w:val="053A4F12"/>
    <w:rsid w:val="05B15CA4"/>
    <w:rsid w:val="05F607BC"/>
    <w:rsid w:val="062C6F86"/>
    <w:rsid w:val="0786286D"/>
    <w:rsid w:val="08346622"/>
    <w:rsid w:val="09310F40"/>
    <w:rsid w:val="09B371A0"/>
    <w:rsid w:val="09DA2438"/>
    <w:rsid w:val="0B2E2A96"/>
    <w:rsid w:val="0B972C0A"/>
    <w:rsid w:val="0BB50578"/>
    <w:rsid w:val="0ED85D99"/>
    <w:rsid w:val="0EDB1A22"/>
    <w:rsid w:val="0FD43B18"/>
    <w:rsid w:val="107B5820"/>
    <w:rsid w:val="10B65D95"/>
    <w:rsid w:val="110D3F66"/>
    <w:rsid w:val="11752C0E"/>
    <w:rsid w:val="118C0FA3"/>
    <w:rsid w:val="12B16B16"/>
    <w:rsid w:val="141F460B"/>
    <w:rsid w:val="14F54847"/>
    <w:rsid w:val="15BE749A"/>
    <w:rsid w:val="18300B23"/>
    <w:rsid w:val="18504D21"/>
    <w:rsid w:val="18AF75BA"/>
    <w:rsid w:val="18D41D66"/>
    <w:rsid w:val="19F26FDA"/>
    <w:rsid w:val="1A375F62"/>
    <w:rsid w:val="1AFA77C5"/>
    <w:rsid w:val="1BA2405D"/>
    <w:rsid w:val="1C1D07FC"/>
    <w:rsid w:val="1C813F72"/>
    <w:rsid w:val="1CAE5116"/>
    <w:rsid w:val="1CEB14BC"/>
    <w:rsid w:val="1F663AFB"/>
    <w:rsid w:val="20605D1D"/>
    <w:rsid w:val="2063580D"/>
    <w:rsid w:val="225E739B"/>
    <w:rsid w:val="22933D33"/>
    <w:rsid w:val="230F5B30"/>
    <w:rsid w:val="2321776B"/>
    <w:rsid w:val="236553F8"/>
    <w:rsid w:val="24297892"/>
    <w:rsid w:val="26123616"/>
    <w:rsid w:val="264C5E2C"/>
    <w:rsid w:val="278C526B"/>
    <w:rsid w:val="27B23302"/>
    <w:rsid w:val="27F95FF9"/>
    <w:rsid w:val="29456345"/>
    <w:rsid w:val="29531E80"/>
    <w:rsid w:val="29705555"/>
    <w:rsid w:val="29AE18A7"/>
    <w:rsid w:val="2A136A9D"/>
    <w:rsid w:val="2B0D392B"/>
    <w:rsid w:val="2BFE4BDF"/>
    <w:rsid w:val="2C273A79"/>
    <w:rsid w:val="2D0F0096"/>
    <w:rsid w:val="2DBC1EC3"/>
    <w:rsid w:val="2E4C6F4F"/>
    <w:rsid w:val="2F0F58B2"/>
    <w:rsid w:val="2F367CE8"/>
    <w:rsid w:val="2FCB4ECF"/>
    <w:rsid w:val="2FE82CEF"/>
    <w:rsid w:val="30634128"/>
    <w:rsid w:val="30E11461"/>
    <w:rsid w:val="31CE41CD"/>
    <w:rsid w:val="31D04050"/>
    <w:rsid w:val="32087FC3"/>
    <w:rsid w:val="324756F5"/>
    <w:rsid w:val="325771B0"/>
    <w:rsid w:val="326847C9"/>
    <w:rsid w:val="327E5D78"/>
    <w:rsid w:val="32AB06D3"/>
    <w:rsid w:val="32B43E83"/>
    <w:rsid w:val="33435756"/>
    <w:rsid w:val="34562B57"/>
    <w:rsid w:val="3527024A"/>
    <w:rsid w:val="357C6EC6"/>
    <w:rsid w:val="3693127B"/>
    <w:rsid w:val="36F9612C"/>
    <w:rsid w:val="37021484"/>
    <w:rsid w:val="37F331A8"/>
    <w:rsid w:val="386D6DD1"/>
    <w:rsid w:val="39580388"/>
    <w:rsid w:val="3AA06FEA"/>
    <w:rsid w:val="3BB15227"/>
    <w:rsid w:val="400006D7"/>
    <w:rsid w:val="413E093E"/>
    <w:rsid w:val="41A81510"/>
    <w:rsid w:val="421B789E"/>
    <w:rsid w:val="42EF4FB3"/>
    <w:rsid w:val="437B23A2"/>
    <w:rsid w:val="453F57FA"/>
    <w:rsid w:val="462A00B0"/>
    <w:rsid w:val="478C30AF"/>
    <w:rsid w:val="47B30ED4"/>
    <w:rsid w:val="485E1274"/>
    <w:rsid w:val="48AF3B53"/>
    <w:rsid w:val="490E5A67"/>
    <w:rsid w:val="4AC4664F"/>
    <w:rsid w:val="4B570551"/>
    <w:rsid w:val="4C122301"/>
    <w:rsid w:val="4D553D98"/>
    <w:rsid w:val="4DAB7D28"/>
    <w:rsid w:val="4E10127E"/>
    <w:rsid w:val="4E2071A8"/>
    <w:rsid w:val="4E214CF1"/>
    <w:rsid w:val="4E3A0C2A"/>
    <w:rsid w:val="4E444B90"/>
    <w:rsid w:val="4E651408"/>
    <w:rsid w:val="4EDD0B9E"/>
    <w:rsid w:val="4F1638C7"/>
    <w:rsid w:val="4F1B11D1"/>
    <w:rsid w:val="4F89605B"/>
    <w:rsid w:val="4FA03401"/>
    <w:rsid w:val="500E459E"/>
    <w:rsid w:val="509E5FDB"/>
    <w:rsid w:val="50CC5E28"/>
    <w:rsid w:val="516231F0"/>
    <w:rsid w:val="51F36142"/>
    <w:rsid w:val="537624A9"/>
    <w:rsid w:val="53D33B35"/>
    <w:rsid w:val="54AF6350"/>
    <w:rsid w:val="559D43FA"/>
    <w:rsid w:val="55A82D9F"/>
    <w:rsid w:val="55BE6384"/>
    <w:rsid w:val="55D10548"/>
    <w:rsid w:val="56044479"/>
    <w:rsid w:val="5623455D"/>
    <w:rsid w:val="56A9350E"/>
    <w:rsid w:val="577B1D16"/>
    <w:rsid w:val="578F4217"/>
    <w:rsid w:val="57E54139"/>
    <w:rsid w:val="58374AF3"/>
    <w:rsid w:val="59841DE0"/>
    <w:rsid w:val="5A97126B"/>
    <w:rsid w:val="5B1038C0"/>
    <w:rsid w:val="5B1213E7"/>
    <w:rsid w:val="5B81356B"/>
    <w:rsid w:val="5B8B1199"/>
    <w:rsid w:val="5D3121C7"/>
    <w:rsid w:val="5E5A54F4"/>
    <w:rsid w:val="5F0C446A"/>
    <w:rsid w:val="5F131121"/>
    <w:rsid w:val="5F64678F"/>
    <w:rsid w:val="6058109D"/>
    <w:rsid w:val="61632177"/>
    <w:rsid w:val="61957557"/>
    <w:rsid w:val="61BE18D7"/>
    <w:rsid w:val="623E269A"/>
    <w:rsid w:val="62C236F2"/>
    <w:rsid w:val="62EC2125"/>
    <w:rsid w:val="63D61FAD"/>
    <w:rsid w:val="64711BB5"/>
    <w:rsid w:val="64FF6896"/>
    <w:rsid w:val="65440CC7"/>
    <w:rsid w:val="66642BCD"/>
    <w:rsid w:val="66B005E6"/>
    <w:rsid w:val="688431F8"/>
    <w:rsid w:val="690C0D75"/>
    <w:rsid w:val="69561B9F"/>
    <w:rsid w:val="6ADD0E68"/>
    <w:rsid w:val="6B113ED5"/>
    <w:rsid w:val="6B2F7D93"/>
    <w:rsid w:val="6C5775A1"/>
    <w:rsid w:val="6C7D05FF"/>
    <w:rsid w:val="6E173DBA"/>
    <w:rsid w:val="6F860D65"/>
    <w:rsid w:val="6FDE705F"/>
    <w:rsid w:val="71445BB4"/>
    <w:rsid w:val="73E55492"/>
    <w:rsid w:val="7476433D"/>
    <w:rsid w:val="752A09E7"/>
    <w:rsid w:val="759C73E8"/>
    <w:rsid w:val="76796366"/>
    <w:rsid w:val="769E145F"/>
    <w:rsid w:val="76E934EC"/>
    <w:rsid w:val="78021DFD"/>
    <w:rsid w:val="78EC7D02"/>
    <w:rsid w:val="794C090D"/>
    <w:rsid w:val="797B7AD9"/>
    <w:rsid w:val="79F93A46"/>
    <w:rsid w:val="7A79575C"/>
    <w:rsid w:val="7AFD7566"/>
    <w:rsid w:val="7C152765"/>
    <w:rsid w:val="7C174657"/>
    <w:rsid w:val="7CE772EE"/>
    <w:rsid w:val="7D0D63DA"/>
    <w:rsid w:val="7D407BDD"/>
    <w:rsid w:val="7D60611C"/>
    <w:rsid w:val="7DBA2A2F"/>
    <w:rsid w:val="7E553215"/>
    <w:rsid w:val="7F6075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p17"/>
    <w:basedOn w:val="1"/>
    <w:qFormat/>
    <w:uiPriority w:val="0"/>
    <w:pPr>
      <w:widowControl/>
      <w:spacing w:line="560" w:lineRule="atLeast"/>
      <w:ind w:firstLine="420"/>
      <w:jc w:val="left"/>
    </w:pPr>
    <w:rPr>
      <w:kern w:val="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785</Words>
  <Characters>862</Characters>
  <Lines>0</Lines>
  <Paragraphs>0</Paragraphs>
  <TotalTime>0</TotalTime>
  <ScaleCrop>false</ScaleCrop>
  <LinksUpToDate>false</LinksUpToDate>
  <CharactersWithSpaces>867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hnddhr</cp:lastModifiedBy>
  <cp:lastPrinted>2023-11-16T15:11:00Z</cp:lastPrinted>
  <dcterms:modified xsi:type="dcterms:W3CDTF">2023-11-30T06:23:34Z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37FFA58DF8144583B59493FEA5E5528B_13</vt:lpwstr>
  </property>
</Properties>
</file>