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334"/>
        <w:gridCol w:w="1355"/>
        <w:gridCol w:w="882"/>
        <w:gridCol w:w="343"/>
        <w:gridCol w:w="1226"/>
        <w:gridCol w:w="1452"/>
        <w:gridCol w:w="879"/>
        <w:gridCol w:w="863"/>
        <w:gridCol w:w="1282"/>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540" w:type="dxa"/>
            <w:vMerge w:val="restart"/>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基本情况</w:t>
            </w:r>
          </w:p>
          <w:p>
            <w:pPr>
              <w:jc w:val="center"/>
              <w:rPr>
                <w:rFonts w:hint="default" w:ascii="Times New Roman" w:hAnsi="Times New Roman" w:cs="Times New Roman"/>
                <w:b/>
                <w:bCs/>
                <w:vertAlign w:val="baseline"/>
              </w:rPr>
            </w:pPr>
          </w:p>
        </w:tc>
        <w:tc>
          <w:tcPr>
            <w:tcW w:w="1479"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姓   名</w:t>
            </w:r>
          </w:p>
        </w:tc>
        <w:tc>
          <w:tcPr>
            <w:tcW w:w="1689" w:type="dxa"/>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谌</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艳</w:t>
            </w:r>
          </w:p>
        </w:tc>
        <w:tc>
          <w:tcPr>
            <w:tcW w:w="882"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性别</w:t>
            </w:r>
          </w:p>
        </w:tc>
        <w:tc>
          <w:tcPr>
            <w:tcW w:w="1569" w:type="dxa"/>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女</w:t>
            </w:r>
          </w:p>
        </w:tc>
        <w:tc>
          <w:tcPr>
            <w:tcW w:w="2331" w:type="dxa"/>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出生年月</w:t>
            </w:r>
          </w:p>
        </w:tc>
        <w:tc>
          <w:tcPr>
            <w:tcW w:w="2145"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1975.8</w:t>
            </w:r>
          </w:p>
        </w:tc>
        <w:tc>
          <w:tcPr>
            <w:tcW w:w="1521"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参加工作时间</w:t>
            </w:r>
          </w:p>
        </w:tc>
        <w:tc>
          <w:tcPr>
            <w:tcW w:w="1614"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1995.12</w:t>
            </w:r>
          </w:p>
        </w:tc>
        <w:tc>
          <w:tcPr>
            <w:tcW w:w="818" w:type="dxa"/>
            <w:vMerge w:val="restart"/>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人事部门审核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40" w:type="dxa"/>
            <w:vMerge w:val="continue"/>
            <w:vAlign w:val="center"/>
          </w:tcPr>
          <w:p>
            <w:pPr>
              <w:jc w:val="center"/>
              <w:rPr>
                <w:rFonts w:hint="default" w:ascii="Times New Roman" w:hAnsi="Times New Roman" w:cs="Times New Roman"/>
                <w:b/>
                <w:bCs/>
                <w:vertAlign w:val="baseline"/>
              </w:rPr>
            </w:pPr>
          </w:p>
        </w:tc>
        <w:tc>
          <w:tcPr>
            <w:tcW w:w="1479" w:type="dxa"/>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现任专业技术职称</w:t>
            </w:r>
          </w:p>
        </w:tc>
        <w:tc>
          <w:tcPr>
            <w:tcW w:w="1689"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讲师（会计师、统计师） </w:t>
            </w:r>
          </w:p>
        </w:tc>
        <w:tc>
          <w:tcPr>
            <w:tcW w:w="882"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获得</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时间</w:t>
            </w:r>
          </w:p>
        </w:tc>
        <w:tc>
          <w:tcPr>
            <w:tcW w:w="1569" w:type="dxa"/>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2004</w:t>
            </w:r>
          </w:p>
        </w:tc>
        <w:tc>
          <w:tcPr>
            <w:tcW w:w="2331" w:type="dxa"/>
            <w:gridSpan w:val="2"/>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从事专业</w:t>
            </w:r>
          </w:p>
        </w:tc>
        <w:tc>
          <w:tcPr>
            <w:tcW w:w="2145" w:type="dxa"/>
            <w:gridSpan w:val="2"/>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kern w:val="2"/>
                <w:sz w:val="21"/>
                <w:szCs w:val="24"/>
                <w:vertAlign w:val="baseline"/>
                <w:lang w:val="en-US" w:eastAsia="zh-CN" w:bidi="ar-SA"/>
              </w:rPr>
              <w:t>会计学</w:t>
            </w:r>
          </w:p>
        </w:tc>
        <w:tc>
          <w:tcPr>
            <w:tcW w:w="1521" w:type="dxa"/>
            <w:gridSpan w:val="2"/>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是否破格</w:t>
            </w:r>
          </w:p>
        </w:tc>
        <w:tc>
          <w:tcPr>
            <w:tcW w:w="1614"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否</w:t>
            </w:r>
          </w:p>
        </w:tc>
        <w:tc>
          <w:tcPr>
            <w:tcW w:w="818" w:type="dxa"/>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40" w:type="dxa"/>
            <w:vMerge w:val="continue"/>
            <w:vAlign w:val="center"/>
          </w:tcPr>
          <w:p>
            <w:pPr>
              <w:jc w:val="center"/>
              <w:rPr>
                <w:rFonts w:hint="default" w:ascii="Times New Roman" w:hAnsi="Times New Roman" w:cs="Times New Roman"/>
                <w:b/>
                <w:bCs/>
                <w:vertAlign w:val="baseline"/>
              </w:rPr>
            </w:pPr>
          </w:p>
        </w:tc>
        <w:tc>
          <w:tcPr>
            <w:tcW w:w="5619" w:type="dxa"/>
            <w:gridSpan w:val="6"/>
            <w:vAlign w:val="center"/>
          </w:tcPr>
          <w:p>
            <w:pPr>
              <w:widowControl w:val="0"/>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学习经历（从高中填起）</w:t>
            </w:r>
          </w:p>
        </w:tc>
        <w:tc>
          <w:tcPr>
            <w:tcW w:w="7611" w:type="dxa"/>
            <w:gridSpan w:val="7"/>
            <w:vAlign w:val="center"/>
          </w:tcPr>
          <w:p>
            <w:pPr>
              <w:widowControl w:val="0"/>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工作经历</w:t>
            </w:r>
          </w:p>
        </w:tc>
        <w:tc>
          <w:tcPr>
            <w:tcW w:w="818" w:type="dxa"/>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540" w:type="dxa"/>
            <w:vMerge w:val="continue"/>
            <w:vAlign w:val="center"/>
          </w:tcPr>
          <w:p>
            <w:pPr>
              <w:widowControl w:val="0"/>
              <w:jc w:val="both"/>
              <w:rPr>
                <w:rFonts w:hint="default" w:ascii="Times New Roman" w:hAnsi="Times New Roman" w:cs="Times New Roman"/>
              </w:rPr>
            </w:pPr>
          </w:p>
        </w:tc>
        <w:tc>
          <w:tcPr>
            <w:tcW w:w="5619" w:type="dxa"/>
            <w:gridSpan w:val="6"/>
            <w:vAlign w:val="center"/>
          </w:tcPr>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1989年09月，就读于益阳市第一中学，高中毕业；</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1992年09月，就读于湖南广播电视大学电算会计专业，全日制专科；</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1996年09月，就读于湖南商学院财务会计专业，函授本科；</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2014年3月至2014年7月，益阳市委党校青干班学习。</w:t>
            </w:r>
          </w:p>
          <w:p>
            <w:pPr>
              <w:widowControl w:val="0"/>
              <w:numPr>
                <w:ilvl w:val="0"/>
                <w:numId w:val="0"/>
              </w:numPr>
              <w:jc w:val="both"/>
              <w:rPr>
                <w:rFonts w:hint="default" w:ascii="Times New Roman" w:hAnsi="Times New Roman" w:cs="Times New Roman"/>
                <w:vertAlign w:val="baseline"/>
                <w:lang w:val="en-US" w:eastAsia="zh-CN"/>
              </w:rPr>
            </w:pPr>
          </w:p>
        </w:tc>
        <w:tc>
          <w:tcPr>
            <w:tcW w:w="7611" w:type="dxa"/>
            <w:gridSpan w:val="7"/>
            <w:vAlign w:val="center"/>
          </w:tcPr>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1995年12月，益阳电大党政办公室岗位从事行政工作。</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1999年7月，益阳电大直属教学部会计专业教师及班主任</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2006年7月，益阳电大职业教育学院副院长、会计专业责任教师、班主任</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2010年9月，益阳电大开放教育学院副院长、会计专业责任教师、班主任</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2012年6月，益阳电大招生与系统建设处主任、会计专业责任教师、班主任</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2014年3月，益阳市委党校青干班学习</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2014年7月，益阳电大招生与系统建设处主任、会计专业责任教师</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2018年6月，益阳电大招生与系统建设处主任、会计专业课程辅导教师</w:t>
            </w:r>
          </w:p>
          <w:p>
            <w:pPr>
              <w:widowControl w:val="0"/>
              <w:numPr>
                <w:ilvl w:val="0"/>
                <w:numId w:val="0"/>
              </w:num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2021年1月至今，益阳开放大学计划财务处主任、会计专业责任教师</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pPr>
              <w:widowControl w:val="0"/>
              <w:jc w:val="both"/>
              <w:rPr>
                <w:rFonts w:hint="default" w:ascii="Times New Roman" w:hAnsi="Times New Roman" w:cs="Times New Roman"/>
              </w:rPr>
            </w:pPr>
          </w:p>
        </w:tc>
        <w:tc>
          <w:tcPr>
            <w:tcW w:w="1813"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最高学历</w:t>
            </w:r>
          </w:p>
        </w:tc>
        <w:tc>
          <w:tcPr>
            <w:tcW w:w="1355" w:type="dxa"/>
            <w:vAlign w:val="center"/>
          </w:tcPr>
          <w:p>
            <w:pPr>
              <w:widowControl w:val="0"/>
              <w:numPr>
                <w:ilvl w:val="0"/>
                <w:numId w:val="0"/>
              </w:num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本科</w:t>
            </w:r>
          </w:p>
        </w:tc>
        <w:tc>
          <w:tcPr>
            <w:tcW w:w="122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最高学位</w:t>
            </w:r>
          </w:p>
        </w:tc>
        <w:tc>
          <w:tcPr>
            <w:tcW w:w="1226" w:type="dxa"/>
            <w:vAlign w:val="center"/>
          </w:tcPr>
          <w:p>
            <w:pPr>
              <w:widowControl w:val="0"/>
              <w:numPr>
                <w:ilvl w:val="0"/>
                <w:numId w:val="0"/>
              </w:num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无</w:t>
            </w:r>
          </w:p>
        </w:tc>
        <w:tc>
          <w:tcPr>
            <w:tcW w:w="1452" w:type="dxa"/>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外语水平</w:t>
            </w:r>
          </w:p>
        </w:tc>
        <w:tc>
          <w:tcPr>
            <w:tcW w:w="1742" w:type="dxa"/>
            <w:gridSpan w:val="2"/>
            <w:vAlign w:val="center"/>
          </w:tcPr>
          <w:p>
            <w:pPr>
              <w:spacing w:line="280" w:lineRule="exact"/>
              <w:jc w:val="center"/>
              <w:rPr>
                <w:rFonts w:hint="default" w:ascii="Times New Roman" w:hAnsi="Times New Roman" w:cs="Times New Roman"/>
                <w:vertAlign w:val="baseline"/>
                <w:lang w:val="en-US" w:eastAsia="zh-CN"/>
              </w:rPr>
            </w:pPr>
            <w:r>
              <w:rPr>
                <w:rFonts w:hint="default" w:ascii="Times New Roman" w:hAnsi="Times New Roman" w:cs="Times New Roman"/>
                <w:szCs w:val="21"/>
                <w:lang w:eastAsia="zh-CN"/>
              </w:rPr>
              <w:t>职称英语</w:t>
            </w:r>
            <w:r>
              <w:rPr>
                <w:rFonts w:hint="default" w:ascii="Times New Roman" w:hAnsi="Times New Roman" w:cs="Times New Roman"/>
                <w:szCs w:val="21"/>
                <w:lang w:val="en-US" w:eastAsia="zh-CN"/>
              </w:rPr>
              <w:t>69分</w:t>
            </w:r>
          </w:p>
        </w:tc>
        <w:tc>
          <w:tcPr>
            <w:tcW w:w="2743" w:type="dxa"/>
            <w:gridSpan w:val="2"/>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计算机水平</w:t>
            </w:r>
          </w:p>
        </w:tc>
        <w:tc>
          <w:tcPr>
            <w:tcW w:w="1674" w:type="dxa"/>
            <w:gridSpan w:val="2"/>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szCs w:val="21"/>
                <w:lang w:eastAsia="zh-CN"/>
              </w:rPr>
              <w:t>初级</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pPr>
              <w:widowControl w:val="0"/>
              <w:jc w:val="both"/>
              <w:rPr>
                <w:rFonts w:hint="default" w:ascii="Times New Roman" w:hAnsi="Times New Roman" w:cs="Times New Roman"/>
              </w:rPr>
            </w:pPr>
          </w:p>
        </w:tc>
        <w:tc>
          <w:tcPr>
            <w:tcW w:w="1813" w:type="dxa"/>
            <w:gridSpan w:val="2"/>
            <w:vMerge w:val="restart"/>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近五年继续教育情况</w:t>
            </w:r>
          </w:p>
        </w:tc>
        <w:tc>
          <w:tcPr>
            <w:tcW w:w="1355" w:type="dxa"/>
            <w:vAlign w:val="center"/>
          </w:tcPr>
          <w:p>
            <w:pPr>
              <w:widowControl w:val="0"/>
              <w:numPr>
                <w:ilvl w:val="0"/>
                <w:numId w:val="0"/>
              </w:numPr>
              <w:jc w:val="right"/>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2018年度</w:t>
            </w:r>
          </w:p>
        </w:tc>
        <w:tc>
          <w:tcPr>
            <w:tcW w:w="1225" w:type="dxa"/>
            <w:gridSpan w:val="2"/>
            <w:vAlign w:val="center"/>
          </w:tcPr>
          <w:p>
            <w:pPr>
              <w:widowControl w:val="0"/>
              <w:numPr>
                <w:ilvl w:val="0"/>
                <w:numId w:val="0"/>
              </w:numPr>
              <w:jc w:val="right"/>
              <w:rPr>
                <w:rFonts w:hint="default" w:ascii="Times New Roman" w:hAnsi="Times New Roman" w:cs="Times New Roman"/>
                <w:lang w:val="en-US" w:eastAsia="zh-CN"/>
              </w:rPr>
            </w:pPr>
            <w:r>
              <w:rPr>
                <w:rFonts w:hint="default" w:ascii="Times New Roman" w:hAnsi="Times New Roman" w:cs="Times New Roman"/>
                <w:lang w:val="en-US" w:eastAsia="zh-CN"/>
              </w:rPr>
              <w:t>2019年度</w:t>
            </w:r>
          </w:p>
        </w:tc>
        <w:tc>
          <w:tcPr>
            <w:tcW w:w="1226" w:type="dxa"/>
            <w:vAlign w:val="center"/>
          </w:tcPr>
          <w:p>
            <w:pPr>
              <w:widowControl w:val="0"/>
              <w:numPr>
                <w:ilvl w:val="0"/>
                <w:numId w:val="0"/>
              </w:numPr>
              <w:jc w:val="right"/>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2020年度</w:t>
            </w:r>
          </w:p>
        </w:tc>
        <w:tc>
          <w:tcPr>
            <w:tcW w:w="1452" w:type="dxa"/>
            <w:vAlign w:val="center"/>
          </w:tcPr>
          <w:p>
            <w:pPr>
              <w:widowControl w:val="0"/>
              <w:numPr>
                <w:ilvl w:val="0"/>
                <w:numId w:val="0"/>
              </w:numPr>
              <w:ind w:left="0" w:leftChars="0" w:firstLine="0" w:firstLineChars="0"/>
              <w:jc w:val="right"/>
              <w:rPr>
                <w:rFonts w:hint="default" w:ascii="Times New Roman" w:hAnsi="Times New Roman" w:cs="Times New Roman"/>
                <w:lang w:val="en-US" w:eastAsia="zh-CN"/>
              </w:rPr>
            </w:pPr>
            <w:r>
              <w:rPr>
                <w:rFonts w:hint="default" w:ascii="Times New Roman" w:hAnsi="Times New Roman" w:cs="Times New Roman"/>
                <w:lang w:val="en-US" w:eastAsia="zh-CN"/>
              </w:rPr>
              <w:t>2021年度</w:t>
            </w:r>
          </w:p>
        </w:tc>
        <w:tc>
          <w:tcPr>
            <w:tcW w:w="1742" w:type="dxa"/>
            <w:gridSpan w:val="2"/>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2022年度</w:t>
            </w:r>
          </w:p>
        </w:tc>
        <w:tc>
          <w:tcPr>
            <w:tcW w:w="4417"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继续教育合格证书编号</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540" w:type="dxa"/>
            <w:vMerge w:val="continue"/>
            <w:vAlign w:val="center"/>
          </w:tcPr>
          <w:p>
            <w:pPr>
              <w:widowControl w:val="0"/>
              <w:jc w:val="both"/>
              <w:rPr>
                <w:rFonts w:hint="default" w:ascii="Times New Roman" w:hAnsi="Times New Roman" w:cs="Times New Roman"/>
              </w:rPr>
            </w:pPr>
          </w:p>
        </w:tc>
        <w:tc>
          <w:tcPr>
            <w:tcW w:w="1813" w:type="dxa"/>
            <w:gridSpan w:val="2"/>
            <w:vMerge w:val="continue"/>
            <w:vAlign w:val="center"/>
          </w:tcPr>
          <w:p>
            <w:pPr>
              <w:widowControl w:val="0"/>
              <w:numPr>
                <w:ilvl w:val="0"/>
                <w:numId w:val="0"/>
              </w:numPr>
              <w:jc w:val="both"/>
              <w:rPr>
                <w:rFonts w:hint="default" w:ascii="Times New Roman" w:hAnsi="Times New Roman" w:cs="Times New Roman"/>
                <w:lang w:val="en-US" w:eastAsia="zh-CN"/>
              </w:rPr>
            </w:pPr>
          </w:p>
        </w:tc>
        <w:tc>
          <w:tcPr>
            <w:tcW w:w="1355" w:type="dxa"/>
            <w:vAlign w:val="center"/>
          </w:tcPr>
          <w:p>
            <w:pPr>
              <w:widowControl w:val="0"/>
              <w:numPr>
                <w:ilvl w:val="0"/>
                <w:numId w:val="0"/>
              </w:num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合格</w:t>
            </w:r>
          </w:p>
        </w:tc>
        <w:tc>
          <w:tcPr>
            <w:tcW w:w="122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合格</w:t>
            </w:r>
          </w:p>
        </w:tc>
        <w:tc>
          <w:tcPr>
            <w:tcW w:w="1226" w:type="dxa"/>
            <w:vAlign w:val="center"/>
          </w:tcPr>
          <w:p>
            <w:pPr>
              <w:widowControl w:val="0"/>
              <w:numPr>
                <w:ilvl w:val="0"/>
                <w:numId w:val="0"/>
              </w:numPr>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合格</w:t>
            </w:r>
          </w:p>
        </w:tc>
        <w:tc>
          <w:tcPr>
            <w:tcW w:w="1452" w:type="dxa"/>
            <w:vAlign w:val="center"/>
          </w:tcPr>
          <w:p>
            <w:pPr>
              <w:widowControl w:val="0"/>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合格</w:t>
            </w:r>
          </w:p>
        </w:tc>
        <w:tc>
          <w:tcPr>
            <w:tcW w:w="1742" w:type="dxa"/>
            <w:gridSpan w:val="2"/>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合格</w:t>
            </w:r>
          </w:p>
        </w:tc>
        <w:tc>
          <w:tcPr>
            <w:tcW w:w="4417"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（2023）0042846</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pPr>
              <w:widowControl w:val="0"/>
              <w:jc w:val="both"/>
              <w:rPr>
                <w:rFonts w:hint="default" w:ascii="Times New Roman" w:hAnsi="Times New Roman" w:cs="Times New Roman"/>
              </w:rPr>
            </w:pPr>
          </w:p>
        </w:tc>
        <w:tc>
          <w:tcPr>
            <w:tcW w:w="1813" w:type="dxa"/>
            <w:gridSpan w:val="2"/>
            <w:vMerge w:val="restart"/>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近五年年度考核</w:t>
            </w:r>
          </w:p>
        </w:tc>
        <w:tc>
          <w:tcPr>
            <w:tcW w:w="1355" w:type="dxa"/>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lang w:val="en-US" w:eastAsia="zh-CN"/>
              </w:rPr>
              <w:t>2018年度</w:t>
            </w:r>
          </w:p>
        </w:tc>
        <w:tc>
          <w:tcPr>
            <w:tcW w:w="1225" w:type="dxa"/>
            <w:gridSpan w:val="2"/>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lang w:val="en-US" w:eastAsia="zh-CN"/>
              </w:rPr>
              <w:t>2019年度</w:t>
            </w:r>
          </w:p>
        </w:tc>
        <w:tc>
          <w:tcPr>
            <w:tcW w:w="1226" w:type="dxa"/>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lang w:val="en-US" w:eastAsia="zh-CN"/>
              </w:rPr>
              <w:t>2020年度</w:t>
            </w:r>
          </w:p>
        </w:tc>
        <w:tc>
          <w:tcPr>
            <w:tcW w:w="1452" w:type="dxa"/>
            <w:vAlign w:val="center"/>
          </w:tcPr>
          <w:p>
            <w:pPr>
              <w:widowControl w:val="0"/>
              <w:numPr>
                <w:ilvl w:val="0"/>
                <w:numId w:val="0"/>
              </w:numPr>
              <w:ind w:left="0" w:leftChars="0" w:firstLine="0" w:firstLineChars="0"/>
              <w:jc w:val="right"/>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lang w:val="en-US" w:eastAsia="zh-CN"/>
              </w:rPr>
              <w:t>2021年度</w:t>
            </w:r>
          </w:p>
        </w:tc>
        <w:tc>
          <w:tcPr>
            <w:tcW w:w="1742" w:type="dxa"/>
            <w:gridSpan w:val="2"/>
            <w:vAlign w:val="center"/>
          </w:tcPr>
          <w:p>
            <w:pPr>
              <w:widowControl w:val="0"/>
              <w:numPr>
                <w:ilvl w:val="0"/>
                <w:numId w:val="0"/>
              </w:numPr>
              <w:ind w:left="0" w:leftChars="0" w:firstLine="0" w:firstLineChars="0"/>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lang w:val="en-US" w:eastAsia="zh-CN"/>
              </w:rPr>
              <w:t>2022年度</w:t>
            </w:r>
          </w:p>
        </w:tc>
        <w:tc>
          <w:tcPr>
            <w:tcW w:w="4417"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其他年度考核优秀等次情况</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pPr>
              <w:widowControl w:val="0"/>
              <w:jc w:val="both"/>
              <w:rPr>
                <w:rFonts w:hint="default" w:ascii="Times New Roman" w:hAnsi="Times New Roman" w:cs="Times New Roman"/>
              </w:rPr>
            </w:pPr>
          </w:p>
        </w:tc>
        <w:tc>
          <w:tcPr>
            <w:tcW w:w="1813" w:type="dxa"/>
            <w:gridSpan w:val="2"/>
            <w:vMerge w:val="continue"/>
            <w:vAlign w:val="center"/>
          </w:tcPr>
          <w:p>
            <w:pPr>
              <w:widowControl w:val="0"/>
              <w:numPr>
                <w:ilvl w:val="0"/>
                <w:numId w:val="0"/>
              </w:numPr>
              <w:jc w:val="both"/>
              <w:rPr>
                <w:rFonts w:hint="default" w:ascii="Times New Roman" w:hAnsi="Times New Roman" w:cs="Times New Roman"/>
                <w:lang w:val="en-US" w:eastAsia="zh-CN"/>
              </w:rPr>
            </w:pPr>
          </w:p>
        </w:tc>
        <w:tc>
          <w:tcPr>
            <w:tcW w:w="1355" w:type="dxa"/>
            <w:vAlign w:val="center"/>
          </w:tcPr>
          <w:p>
            <w:pPr>
              <w:widowControl w:val="0"/>
              <w:numPr>
                <w:ilvl w:val="0"/>
                <w:numId w:val="0"/>
              </w:num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优秀</w:t>
            </w:r>
          </w:p>
        </w:tc>
        <w:tc>
          <w:tcPr>
            <w:tcW w:w="1225" w:type="dxa"/>
            <w:gridSpan w:val="2"/>
            <w:vAlign w:val="center"/>
          </w:tcPr>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lang w:val="en-US" w:eastAsia="zh-CN"/>
              </w:rPr>
              <w:t>合格</w:t>
            </w:r>
          </w:p>
        </w:tc>
        <w:tc>
          <w:tcPr>
            <w:tcW w:w="1226" w:type="dxa"/>
            <w:vAlign w:val="center"/>
          </w:tcPr>
          <w:p>
            <w:pPr>
              <w:widowControl w:val="0"/>
              <w:numPr>
                <w:ilvl w:val="0"/>
                <w:numId w:val="0"/>
              </w:num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优秀</w:t>
            </w:r>
          </w:p>
        </w:tc>
        <w:tc>
          <w:tcPr>
            <w:tcW w:w="1452" w:type="dxa"/>
            <w:vAlign w:val="center"/>
          </w:tcPr>
          <w:p>
            <w:pPr>
              <w:widowControl w:val="0"/>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优秀</w:t>
            </w:r>
          </w:p>
        </w:tc>
        <w:tc>
          <w:tcPr>
            <w:tcW w:w="1742" w:type="dxa"/>
            <w:gridSpan w:val="2"/>
            <w:vAlign w:val="center"/>
          </w:tcPr>
          <w:p>
            <w:pPr>
              <w:widowControl w:val="0"/>
              <w:numPr>
                <w:ilvl w:val="0"/>
                <w:numId w:val="0"/>
              </w:numPr>
              <w:ind w:left="0" w:leftChars="0" w:firstLine="0" w:firstLineChars="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优秀</w:t>
            </w:r>
          </w:p>
        </w:tc>
        <w:tc>
          <w:tcPr>
            <w:tcW w:w="4417" w:type="dxa"/>
            <w:gridSpan w:val="4"/>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szCs w:val="21"/>
              </w:rPr>
              <w:t>200</w:t>
            </w:r>
            <w:r>
              <w:rPr>
                <w:rFonts w:hint="default" w:ascii="Times New Roman" w:hAnsi="Times New Roman" w:cs="Times New Roman"/>
                <w:szCs w:val="21"/>
                <w:lang w:val="en-US" w:eastAsia="zh-CN"/>
              </w:rPr>
              <w:t>6</w:t>
            </w:r>
            <w:r>
              <w:rPr>
                <w:rFonts w:hint="default" w:ascii="Times New Roman" w:hAnsi="Times New Roman" w:cs="Times New Roman"/>
                <w:szCs w:val="21"/>
              </w:rPr>
              <w:t>年、</w:t>
            </w:r>
            <w:r>
              <w:rPr>
                <w:rFonts w:hint="default" w:ascii="Times New Roman" w:hAnsi="Times New Roman" w:cs="Times New Roman"/>
                <w:szCs w:val="21"/>
                <w:lang w:val="en-US" w:eastAsia="zh-CN"/>
              </w:rPr>
              <w:t>2007年、2013年、2017年评为优秀</w:t>
            </w:r>
          </w:p>
        </w:tc>
        <w:tc>
          <w:tcPr>
            <w:tcW w:w="818" w:type="dxa"/>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353" w:type="dxa"/>
            <w:gridSpan w:val="3"/>
            <w:vAlign w:val="center"/>
          </w:tcPr>
          <w:p>
            <w:pPr>
              <w:widowControl w:val="0"/>
              <w:numPr>
                <w:ilvl w:val="0"/>
                <w:numId w:val="0"/>
              </w:num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学生思想政治教育</w:t>
            </w:r>
          </w:p>
          <w:p>
            <w:pPr>
              <w:widowControl w:val="0"/>
              <w:numPr>
                <w:ilvl w:val="0"/>
                <w:numId w:val="0"/>
              </w:numPr>
              <w:jc w:val="center"/>
              <w:rPr>
                <w:rFonts w:hint="default" w:ascii="Times New Roman" w:hAnsi="Times New Roman" w:cs="Times New Roman"/>
                <w:lang w:val="en-US" w:eastAsia="zh-CN"/>
              </w:rPr>
            </w:pPr>
            <w:r>
              <w:rPr>
                <w:rFonts w:hint="default" w:ascii="Times New Roman" w:hAnsi="Times New Roman" w:cs="Times New Roman"/>
                <w:b/>
                <w:bCs/>
                <w:lang w:val="en-US" w:eastAsia="zh-CN"/>
              </w:rPr>
              <w:t>工作业绩</w:t>
            </w:r>
          </w:p>
        </w:tc>
        <w:tc>
          <w:tcPr>
            <w:tcW w:w="11417" w:type="dxa"/>
            <w:gridSpan w:val="11"/>
            <w:vAlign w:val="center"/>
          </w:tcPr>
          <w:p>
            <w:pPr>
              <w:keepNext w:val="0"/>
              <w:keepLines w:val="0"/>
              <w:pageBreakBefore w:val="0"/>
              <w:widowControl w:val="0"/>
              <w:kinsoku/>
              <w:wordWrap/>
              <w:overflowPunct/>
              <w:topLinePunct w:val="0"/>
              <w:autoSpaceDE/>
              <w:autoSpaceDN/>
              <w:bidi w:val="0"/>
              <w:adjustRightInd w:val="0"/>
              <w:snapToGrid/>
              <w:spacing w:line="260" w:lineRule="exact"/>
              <w:textAlignment w:val="auto"/>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w:t>
            </w:r>
            <w:r>
              <w:rPr>
                <w:rFonts w:hint="default" w:ascii="Times New Roman" w:hAnsi="Times New Roman" w:cs="Times New Roman"/>
                <w:color w:val="000000"/>
                <w:sz w:val="18"/>
                <w:szCs w:val="18"/>
                <w:lang w:eastAsia="zh-CN"/>
              </w:rPr>
              <w:t>担</w:t>
            </w:r>
            <w:r>
              <w:rPr>
                <w:rFonts w:hint="default" w:ascii="Times New Roman" w:hAnsi="Times New Roman" w:cs="Times New Roman"/>
                <w:color w:val="000000"/>
                <w:sz w:val="18"/>
                <w:szCs w:val="18"/>
              </w:rPr>
              <w:t>任讲师以来</w:t>
            </w:r>
            <w:r>
              <w:rPr>
                <w:rFonts w:hint="default" w:ascii="Times New Roman" w:hAnsi="Times New Roman" w:cs="Times New Roman"/>
                <w:sz w:val="18"/>
                <w:szCs w:val="18"/>
              </w:rPr>
              <w:t>担任益阳电大开放教育</w:t>
            </w:r>
            <w:r>
              <w:rPr>
                <w:rFonts w:hint="default" w:ascii="Times New Roman" w:hAnsi="Times New Roman" w:cs="Times New Roman"/>
                <w:sz w:val="18"/>
                <w:szCs w:val="18"/>
                <w:lang w:eastAsia="zh-CN"/>
              </w:rPr>
              <w:t>会计</w:t>
            </w:r>
            <w:r>
              <w:rPr>
                <w:rFonts w:hint="default" w:ascii="Times New Roman" w:hAnsi="Times New Roman" w:cs="Times New Roman"/>
                <w:sz w:val="18"/>
                <w:szCs w:val="18"/>
              </w:rPr>
              <w:t>学专</w:t>
            </w:r>
            <w:r>
              <w:rPr>
                <w:rFonts w:hint="default" w:ascii="Times New Roman" w:hAnsi="Times New Roman" w:cs="Times New Roman"/>
                <w:sz w:val="18"/>
                <w:szCs w:val="18"/>
                <w:lang w:eastAsia="zh-CN"/>
              </w:rPr>
              <w:t>、</w:t>
            </w:r>
            <w:r>
              <w:rPr>
                <w:rFonts w:hint="default" w:ascii="Times New Roman" w:hAnsi="Times New Roman" w:cs="Times New Roman"/>
                <w:sz w:val="18"/>
                <w:szCs w:val="18"/>
              </w:rPr>
              <w:t>本科班的班主任工作。切实做好班级教学管理和学籍管理等各项具体工作，深入了解学生的学习</w:t>
            </w:r>
            <w:r>
              <w:rPr>
                <w:rFonts w:hint="default" w:ascii="Times New Roman" w:hAnsi="Times New Roman" w:cs="Times New Roman"/>
                <w:color w:val="000000"/>
                <w:sz w:val="18"/>
                <w:szCs w:val="18"/>
              </w:rPr>
              <w:t>情况和学习进度及该班任课教师的教学情况和进度；运用各种形式和手段，给学生及时提供优质的学习支持服务，受到了领导、老师和学生们的一致好评。</w:t>
            </w:r>
          </w:p>
          <w:p>
            <w:pPr>
              <w:keepNext w:val="0"/>
              <w:keepLines w:val="0"/>
              <w:pageBreakBefore w:val="0"/>
              <w:widowControl w:val="0"/>
              <w:kinsoku/>
              <w:wordWrap/>
              <w:overflowPunct/>
              <w:topLinePunct w:val="0"/>
              <w:autoSpaceDE/>
              <w:autoSpaceDN/>
              <w:bidi w:val="0"/>
              <w:adjustRightInd w:val="0"/>
              <w:snapToGrid/>
              <w:spacing w:line="260" w:lineRule="exact"/>
              <w:textAlignment w:val="auto"/>
              <w:rPr>
                <w:rFonts w:hint="default" w:ascii="Times New Roman" w:hAnsi="Times New Roman" w:cs="Times New Roman"/>
                <w:vertAlign w:val="baseline"/>
                <w:lang w:val="en-US" w:eastAsia="zh-CN"/>
              </w:rPr>
            </w:pPr>
            <w:r>
              <w:rPr>
                <w:rFonts w:hint="default" w:ascii="Times New Roman" w:hAnsi="Times New Roman" w:cs="Times New Roman"/>
                <w:color w:val="000000"/>
                <w:sz w:val="18"/>
                <w:szCs w:val="18"/>
              </w:rPr>
              <w:t>2、</w:t>
            </w:r>
            <w:r>
              <w:rPr>
                <w:rFonts w:hint="default" w:ascii="Times New Roman" w:hAnsi="Times New Roman" w:cs="Times New Roman"/>
                <w:color w:val="000000"/>
                <w:sz w:val="18"/>
                <w:szCs w:val="18"/>
                <w:lang w:val="en-US" w:eastAsia="zh-CN"/>
              </w:rPr>
              <w:t>任</w:t>
            </w:r>
            <w:r>
              <w:rPr>
                <w:rFonts w:hint="default" w:ascii="Times New Roman" w:hAnsi="Times New Roman" w:cs="Times New Roman"/>
                <w:color w:val="000000"/>
                <w:sz w:val="18"/>
                <w:szCs w:val="18"/>
              </w:rPr>
              <w:t>讲师以来担任</w:t>
            </w:r>
            <w:r>
              <w:rPr>
                <w:rFonts w:hint="default" w:ascii="Times New Roman" w:hAnsi="Times New Roman" w:cs="Times New Roman"/>
                <w:color w:val="000000"/>
                <w:sz w:val="18"/>
                <w:szCs w:val="18"/>
                <w:lang w:eastAsia="zh-CN"/>
              </w:rPr>
              <w:t>会计</w:t>
            </w:r>
            <w:r>
              <w:rPr>
                <w:rFonts w:hint="default" w:ascii="Times New Roman" w:hAnsi="Times New Roman" w:cs="Times New Roman"/>
                <w:color w:val="000000"/>
                <w:sz w:val="18"/>
                <w:szCs w:val="18"/>
              </w:rPr>
              <w:t>学专业责任教师，指导、辅导和督导学员个别化自主学习，增加远程教育学员的归宿感及文化认同感，获学生好评。</w:t>
            </w:r>
          </w:p>
        </w:tc>
        <w:tc>
          <w:tcPr>
            <w:tcW w:w="818" w:type="dxa"/>
            <w:vAlign w:val="center"/>
          </w:tcPr>
          <w:p>
            <w:pPr>
              <w:widowControl w:val="0"/>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部门审核签字盖章</w:t>
            </w:r>
          </w:p>
        </w:tc>
      </w:tr>
    </w:tbl>
    <w:p>
      <w:r>
        <w:br w:type="page"/>
      </w:r>
    </w:p>
    <w:tbl>
      <w:tblPr>
        <w:tblStyle w:val="5"/>
        <w:tblW w:w="14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742"/>
        <w:gridCol w:w="4726"/>
        <w:gridCol w:w="1089"/>
        <w:gridCol w:w="1129"/>
        <w:gridCol w:w="1903"/>
        <w:gridCol w:w="1387"/>
        <w:gridCol w:w="944"/>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3208" w:type="dxa"/>
            <w:gridSpan w:val="8"/>
            <w:vAlign w:val="center"/>
          </w:tcPr>
          <w:p>
            <w:pPr>
              <w:jc w:val="center"/>
              <w:rPr>
                <w:rFonts w:hint="default" w:ascii="Times New Roman" w:hAnsi="Times New Roman" w:cs="Times New Roman" w:eastAsiaTheme="minorEastAsia"/>
                <w:b/>
                <w:bCs/>
                <w:vertAlign w:val="baseline"/>
                <w:lang w:eastAsia="zh-CN"/>
              </w:rPr>
            </w:pPr>
            <w:r>
              <w:rPr>
                <w:rFonts w:hint="default" w:ascii="Times New Roman" w:hAnsi="Times New Roman" w:cs="Times New Roman"/>
                <w:b/>
                <w:bCs/>
                <w:vertAlign w:val="baseline"/>
                <w:lang w:eastAsia="zh-CN"/>
              </w:rPr>
              <w:t>项目名称</w:t>
            </w:r>
          </w:p>
        </w:tc>
        <w:tc>
          <w:tcPr>
            <w:tcW w:w="1409" w:type="dxa"/>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审核</w:t>
            </w:r>
          </w:p>
          <w:p>
            <w:pPr>
              <w:jc w:val="center"/>
              <w:rPr>
                <w:rFonts w:hint="default" w:ascii="Times New Roman" w:hAnsi="Times New Roman" w:cs="Times New Roman" w:eastAsiaTheme="minorEastAsia"/>
                <w:vertAlign w:val="baseline"/>
                <w:lang w:eastAsia="zh-CN"/>
              </w:rPr>
            </w:pPr>
            <w:r>
              <w:rPr>
                <w:rFonts w:hint="default" w:ascii="Times New Roman" w:hAnsi="Times New Roman" w:cs="Times New Roman"/>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atLeast"/>
          <w:jc w:val="center"/>
        </w:trPr>
        <w:tc>
          <w:tcPr>
            <w:tcW w:w="1288" w:type="dxa"/>
            <w:vAlign w:val="center"/>
          </w:tcPr>
          <w:p>
            <w:pPr>
              <w:numPr>
                <w:ilvl w:val="0"/>
                <w:numId w:val="0"/>
              </w:numPr>
              <w:jc w:val="center"/>
              <w:rPr>
                <w:rFonts w:hint="default" w:ascii="Times New Roman" w:hAnsi="Times New Roman" w:cs="Times New Roman" w:eastAsiaTheme="minorEastAsia"/>
                <w:b/>
                <w:bCs/>
                <w:vertAlign w:val="baseline"/>
                <w:lang w:eastAsia="zh-CN"/>
              </w:rPr>
            </w:pPr>
            <w:r>
              <w:rPr>
                <w:rFonts w:hint="default" w:ascii="Times New Roman" w:hAnsi="Times New Roman" w:cs="Times New Roman"/>
                <w:b/>
                <w:bCs/>
                <w:kern w:val="2"/>
                <w:sz w:val="21"/>
                <w:szCs w:val="24"/>
                <w:vertAlign w:val="baseline"/>
                <w:lang w:val="en-US" w:eastAsia="zh-CN" w:bidi="ar-SA"/>
              </w:rPr>
              <w:t>思想政治与</w:t>
            </w:r>
            <w:r>
              <w:rPr>
                <w:rFonts w:hint="default" w:ascii="Times New Roman" w:hAnsi="Times New Roman" w:cs="Times New Roman"/>
                <w:b/>
                <w:bCs/>
                <w:vertAlign w:val="baseline"/>
                <w:lang w:val="en-US" w:eastAsia="zh-CN"/>
              </w:rPr>
              <w:t>师德师风</w:t>
            </w:r>
          </w:p>
        </w:tc>
        <w:tc>
          <w:tcPr>
            <w:tcW w:w="11920" w:type="dxa"/>
            <w:gridSpan w:val="7"/>
            <w:vAlign w:val="center"/>
          </w:tcPr>
          <w:p>
            <w:pPr>
              <w:numPr>
                <w:ilvl w:val="0"/>
                <w:numId w:val="0"/>
              </w:numPr>
              <w:rPr>
                <w:rFonts w:hint="default" w:ascii="Times New Roman" w:hAnsi="Times New Roman" w:cs="Times New Roman"/>
                <w:sz w:val="21"/>
                <w:szCs w:val="21"/>
                <w:lang w:val="en-US" w:eastAsia="zh-CN"/>
              </w:rPr>
            </w:pPr>
            <w:r>
              <w:rPr>
                <w:rFonts w:hint="default" w:ascii="Times New Roman" w:hAnsi="Times New Roman" w:cs="Times New Roman" w:eastAsiaTheme="minorEastAsia"/>
                <w:kern w:val="2"/>
                <w:sz w:val="21"/>
                <w:szCs w:val="21"/>
                <w:lang w:val="en-US" w:eastAsia="zh-CN" w:bidi="ar-SA"/>
              </w:rPr>
              <w:t>1、</w:t>
            </w:r>
            <w:r>
              <w:rPr>
                <w:rFonts w:hint="default" w:ascii="Times New Roman" w:hAnsi="Times New Roman" w:cs="Times New Roman"/>
                <w:sz w:val="21"/>
                <w:szCs w:val="21"/>
                <w:lang w:val="en-US" w:eastAsia="zh-CN"/>
              </w:rPr>
              <w:t>益阳市人民政府，“记功”，2022年。</w:t>
            </w:r>
          </w:p>
          <w:p>
            <w:pPr>
              <w:numPr>
                <w:ilvl w:val="0"/>
                <w:numId w:val="0"/>
              </w:numPr>
              <w:rPr>
                <w:rFonts w:hint="default" w:ascii="Times New Roman" w:hAnsi="Times New Roman" w:cs="Times New Roman"/>
                <w:sz w:val="21"/>
                <w:szCs w:val="21"/>
                <w:lang w:val="en-US" w:eastAsia="zh-CN"/>
              </w:rPr>
            </w:pPr>
            <w:r>
              <w:rPr>
                <w:rFonts w:hint="default" w:ascii="Times New Roman" w:hAnsi="Times New Roman" w:cs="Times New Roman" w:eastAsiaTheme="minorEastAsia"/>
                <w:kern w:val="2"/>
                <w:sz w:val="21"/>
                <w:szCs w:val="21"/>
                <w:lang w:val="en-US" w:eastAsia="zh-CN" w:bidi="ar-SA"/>
              </w:rPr>
              <w:t>2、</w:t>
            </w:r>
            <w:r>
              <w:rPr>
                <w:rFonts w:hint="default" w:ascii="Times New Roman" w:hAnsi="Times New Roman" w:cs="Times New Roman"/>
                <w:sz w:val="21"/>
                <w:szCs w:val="21"/>
                <w:lang w:val="en-US" w:eastAsia="zh-CN"/>
              </w:rPr>
              <w:t>《益阳日报》在二十大期间第4版，“谌艳——立德树人 严谨求真”，2022年10月21日</w:t>
            </w:r>
          </w:p>
          <w:p>
            <w:pPr>
              <w:numPr>
                <w:ilvl w:val="0"/>
                <w:numId w:val="0"/>
              </w:num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3、“评先进、促改革”表彰活动中被评为“优秀个人”，国家开放大学，2018年</w:t>
            </w:r>
          </w:p>
          <w:p>
            <w:pPr>
              <w:rPr>
                <w:rFonts w:hint="default" w:ascii="Times New Roman" w:hAnsi="Times New Roman" w:cs="Times New Roman"/>
                <w:szCs w:val="21"/>
                <w:lang w:val="en-US" w:eastAsia="zh-CN"/>
              </w:rPr>
            </w:pPr>
            <w:r>
              <w:rPr>
                <w:rFonts w:hint="default" w:ascii="Times New Roman" w:hAnsi="Times New Roman" w:cs="Times New Roman"/>
                <w:sz w:val="21"/>
                <w:szCs w:val="21"/>
                <w:lang w:val="en-US" w:eastAsia="zh-CN"/>
              </w:rPr>
              <w:t>4、</w:t>
            </w:r>
            <w:r>
              <w:rPr>
                <w:rFonts w:hint="default" w:ascii="Times New Roman" w:hAnsi="Times New Roman" w:cs="Times New Roman"/>
                <w:szCs w:val="21"/>
                <w:lang w:val="en-US" w:eastAsia="zh-CN"/>
              </w:rPr>
              <w:t>2006年、2011年、2013年、2017年、2020年、2022年被评为</w:t>
            </w:r>
            <w:r>
              <w:rPr>
                <w:rFonts w:hint="default" w:ascii="Times New Roman" w:hAnsi="Times New Roman" w:cs="Times New Roman"/>
                <w:sz w:val="21"/>
                <w:szCs w:val="21"/>
                <w:lang w:val="en-US" w:eastAsia="zh-CN"/>
              </w:rPr>
              <w:t>益阳开放大学</w:t>
            </w:r>
            <w:r>
              <w:rPr>
                <w:rFonts w:hint="default" w:ascii="Times New Roman" w:hAnsi="Times New Roman" w:cs="Times New Roman"/>
                <w:szCs w:val="21"/>
                <w:lang w:val="en-US" w:eastAsia="zh-CN"/>
              </w:rPr>
              <w:t>“优秀共产党员”</w:t>
            </w:r>
          </w:p>
          <w:p>
            <w:pPr>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5、</w:t>
            </w:r>
            <w:r>
              <w:rPr>
                <w:rFonts w:hint="default" w:ascii="Times New Roman" w:hAnsi="Times New Roman" w:cs="Times New Roman"/>
                <w:vertAlign w:val="baseline"/>
                <w:lang w:val="en-US" w:eastAsia="zh-CN"/>
              </w:rPr>
              <w:t>2012、2013、2014、2015、2016、2018、2019年被湖南开放大学评为“招生先进个人”</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6、2011年被评为益阳开放大学“优秀教师”</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7、2012年评为益阳开放大学“优秀班主任”</w:t>
            </w:r>
          </w:p>
        </w:tc>
        <w:tc>
          <w:tcPr>
            <w:tcW w:w="1409" w:type="dxa"/>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jc w:val="center"/>
              <w:rPr>
                <w:rFonts w:hint="default" w:ascii="Times New Roman" w:hAnsi="Times New Roman" w:cs="Times New Roman"/>
                <w:vertAlign w:val="baseline"/>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88" w:type="dxa"/>
            <w:vMerge w:val="restart"/>
            <w:vAlign w:val="center"/>
          </w:tcPr>
          <w:p>
            <w:pPr>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教育教学</w:t>
            </w:r>
          </w:p>
        </w:tc>
        <w:tc>
          <w:tcPr>
            <w:tcW w:w="5468" w:type="dxa"/>
            <w:gridSpan w:val="2"/>
            <w:vAlign w:val="center"/>
          </w:tcPr>
          <w:p>
            <w:pPr>
              <w:ind w:firstLine="420" w:firstLineChars="200"/>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教育教学能力</w:t>
            </w:r>
          </w:p>
        </w:tc>
        <w:tc>
          <w:tcPr>
            <w:tcW w:w="6452" w:type="dxa"/>
            <w:gridSpan w:val="5"/>
            <w:vAlign w:val="center"/>
          </w:tcPr>
          <w:p>
            <w:pPr>
              <w:ind w:firstLine="420" w:firstLineChars="200"/>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教学工作量（学时）</w:t>
            </w:r>
          </w:p>
        </w:tc>
        <w:tc>
          <w:tcPr>
            <w:tcW w:w="1409" w:type="dxa"/>
            <w:vMerge w:val="restart"/>
          </w:tcPr>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88" w:type="dxa"/>
            <w:vMerge w:val="continue"/>
            <w:vAlign w:val="center"/>
          </w:tcPr>
          <w:p>
            <w:pPr>
              <w:ind w:firstLine="420" w:firstLineChars="200"/>
              <w:jc w:val="center"/>
              <w:rPr>
                <w:rFonts w:hint="default" w:ascii="Times New Roman" w:hAnsi="Times New Roman" w:cs="Times New Roman"/>
              </w:rPr>
            </w:pPr>
          </w:p>
        </w:tc>
        <w:tc>
          <w:tcPr>
            <w:tcW w:w="5468"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1.任现职19年年均教学工作量500课时；</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担任会计学专业责任教师，担任专、本科《中级财务会计》、《成本会计》、《会计信息系统》、《会计软件运用》等课程面授与网上辅导教师；担任班主任，切实做好班级教学管理和学籍管理等各项具体工作，深入了解学生的学习情况和学习进度及该班任课教师的教学情况和进度；运用各种形式和手段，给学生及时提供优质的学习支持服务。</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主持建成益阳广播电视大学“多媒体会计模拟实验室”。从2004年起开创性地在会计学专、本科学生中开设会计模拟实验课程，在替代手工模拟实验、节省实习经费、推广现代化的教学方法、改变会计实训手段方面作出重要贡献。对各区、县、教学点实训课程课程的软件操作与教学方法进行在线辅导与答疑，提高了学生实践操作能力。</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4、能对本专业的青年教师做好专业教学设计、课程设计、实践性环节教学、课堂教学、课程网上教学、课程资源建设等工作的指导，经常开展多种媒体教学、面授导学课教学及专业实践课教学的探索，同时，还对县、区、教学点该专业的管理教师进行开放教育各项管理工作的指导，帮助掌握针对本专业管理的特点与方法。</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5.担任益阳电大招生与系统建设处主任来，深入全市八个县区与中职学校教学点，给予他们教学方法、教学技能、教学媒体等方面的指导，受到教学点一致好评。</w:t>
            </w:r>
          </w:p>
          <w:p>
            <w:pPr>
              <w:ind w:firstLine="360" w:firstLineChars="20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6.担任学校计划财务处主任，认真组织学习会计法纪法规、规范会计行为，以德服人，培养提高了本校会计人员专业素质与工作能力。</w:t>
            </w:r>
          </w:p>
          <w:p>
            <w:pPr>
              <w:numPr>
                <w:ilvl w:val="0"/>
                <w:numId w:val="0"/>
              </w:numPr>
              <w:jc w:val="left"/>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   </w:t>
            </w:r>
          </w:p>
        </w:tc>
        <w:tc>
          <w:tcPr>
            <w:tcW w:w="1089" w:type="dxa"/>
            <w:vAlign w:val="center"/>
          </w:tcPr>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年度</w:t>
            </w:r>
          </w:p>
        </w:tc>
        <w:tc>
          <w:tcPr>
            <w:tcW w:w="1129" w:type="dxa"/>
            <w:vAlign w:val="center"/>
          </w:tcPr>
          <w:p>
            <w:p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课堂教学</w:t>
            </w:r>
          </w:p>
          <w:p>
            <w:pPr>
              <w:jc w:val="center"/>
              <w:rPr>
                <w:rFonts w:hint="default" w:ascii="Times New Roman" w:hAnsi="Times New Roman" w:cs="Times New Roman"/>
                <w:vertAlign w:val="baseline"/>
                <w:lang w:val="en-US" w:eastAsia="zh-CN"/>
              </w:rPr>
            </w:pPr>
            <w:r>
              <w:rPr>
                <w:rFonts w:hint="default" w:ascii="Times New Roman" w:hAnsi="Times New Roman" w:cs="Times New Roman"/>
                <w:sz w:val="18"/>
                <w:szCs w:val="21"/>
                <w:vertAlign w:val="baseline"/>
                <w:lang w:val="en-US" w:eastAsia="zh-CN"/>
              </w:rPr>
              <w:t>含面授、直播等</w:t>
            </w:r>
          </w:p>
        </w:tc>
        <w:tc>
          <w:tcPr>
            <w:tcW w:w="1903" w:type="dxa"/>
            <w:vAlign w:val="center"/>
          </w:tcPr>
          <w:p>
            <w:p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实践教学</w:t>
            </w:r>
          </w:p>
          <w:p>
            <w:pPr>
              <w:jc w:val="center"/>
              <w:rPr>
                <w:rFonts w:hint="default" w:ascii="Times New Roman" w:hAnsi="Times New Roman" w:cs="Times New Roman"/>
                <w:vertAlign w:val="baseline"/>
                <w:lang w:val="en-US" w:eastAsia="zh-CN"/>
              </w:rPr>
            </w:pPr>
            <w:r>
              <w:rPr>
                <w:rFonts w:hint="default" w:ascii="Times New Roman" w:hAnsi="Times New Roman" w:cs="Times New Roman"/>
                <w:sz w:val="18"/>
                <w:szCs w:val="21"/>
                <w:vertAlign w:val="baseline"/>
                <w:lang w:val="en-US" w:eastAsia="zh-CN"/>
              </w:rPr>
              <w:t>含毕业设计（论文）、岗位实习指导等</w:t>
            </w:r>
          </w:p>
        </w:tc>
        <w:tc>
          <w:tcPr>
            <w:tcW w:w="1387" w:type="dxa"/>
            <w:vAlign w:val="center"/>
          </w:tcPr>
          <w:p>
            <w:p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专业责任</w:t>
            </w:r>
          </w:p>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b/>
                <w:bCs/>
                <w:vertAlign w:val="baseline"/>
                <w:lang w:val="en-US" w:eastAsia="zh-CN"/>
              </w:rPr>
              <w:t>教师</w:t>
            </w:r>
          </w:p>
        </w:tc>
        <w:tc>
          <w:tcPr>
            <w:tcW w:w="944"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总计</w:t>
            </w:r>
          </w:p>
        </w:tc>
        <w:tc>
          <w:tcPr>
            <w:tcW w:w="1409" w:type="dxa"/>
            <w:vMerge w:val="continue"/>
          </w:tcPr>
          <w:p>
            <w:pPr>
              <w:ind w:firstLine="420" w:firstLineChars="200"/>
              <w:jc w:val="center"/>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88" w:type="dxa"/>
            <w:vMerge w:val="continue"/>
            <w:vAlign w:val="center"/>
          </w:tcPr>
          <w:p>
            <w:pPr>
              <w:ind w:firstLine="420" w:firstLineChars="200"/>
              <w:jc w:val="center"/>
              <w:rPr>
                <w:rFonts w:hint="default" w:ascii="Times New Roman" w:hAnsi="Times New Roman" w:cs="Times New Roman"/>
              </w:rPr>
            </w:pPr>
          </w:p>
        </w:tc>
        <w:tc>
          <w:tcPr>
            <w:tcW w:w="5468" w:type="dxa"/>
            <w:gridSpan w:val="2"/>
            <w:vMerge w:val="continue"/>
            <w:vAlign w:val="center"/>
          </w:tcPr>
          <w:p>
            <w:pPr>
              <w:ind w:firstLine="420" w:firstLineChars="200"/>
              <w:jc w:val="center"/>
              <w:rPr>
                <w:rFonts w:hint="default" w:ascii="Times New Roman" w:hAnsi="Times New Roman" w:cs="Times New Roman"/>
              </w:rPr>
            </w:pPr>
          </w:p>
        </w:tc>
        <w:tc>
          <w:tcPr>
            <w:tcW w:w="1089" w:type="dxa"/>
            <w:vAlign w:val="center"/>
          </w:tcPr>
          <w:p>
            <w:pPr>
              <w:bidi w:val="0"/>
              <w:rPr>
                <w:rFonts w:hint="default" w:ascii="Times New Roman" w:hAnsi="Times New Roman" w:cs="Times New Roman"/>
                <w:lang w:val="en-US" w:eastAsia="zh-CN"/>
              </w:rPr>
            </w:pPr>
            <w:r>
              <w:rPr>
                <w:rFonts w:hint="default" w:ascii="Times New Roman" w:hAnsi="Times New Roman" w:cs="Times New Roman"/>
                <w:lang w:val="en-US" w:eastAsia="zh-CN"/>
              </w:rPr>
              <w:t>2005</w:t>
            </w:r>
          </w:p>
          <w:p>
            <w:pPr>
              <w:bidi w:val="0"/>
              <w:rPr>
                <w:rFonts w:hint="default" w:ascii="Times New Roman" w:hAnsi="Times New Roman" w:cs="Times New Roman"/>
              </w:rPr>
            </w:pPr>
            <w:r>
              <w:rPr>
                <w:rFonts w:hint="default" w:ascii="Times New Roman" w:hAnsi="Times New Roman" w:cs="Times New Roman"/>
              </w:rPr>
              <w:t>2006</w:t>
            </w:r>
          </w:p>
          <w:p>
            <w:pPr>
              <w:bidi w:val="0"/>
              <w:rPr>
                <w:rFonts w:hint="default" w:ascii="Times New Roman" w:hAnsi="Times New Roman" w:cs="Times New Roman"/>
              </w:rPr>
            </w:pPr>
            <w:r>
              <w:rPr>
                <w:rFonts w:hint="default" w:ascii="Times New Roman" w:hAnsi="Times New Roman" w:cs="Times New Roman"/>
              </w:rPr>
              <w:t>2007</w:t>
            </w:r>
          </w:p>
          <w:p>
            <w:pPr>
              <w:bidi w:val="0"/>
              <w:rPr>
                <w:rFonts w:hint="default" w:ascii="Times New Roman" w:hAnsi="Times New Roman" w:cs="Times New Roman"/>
              </w:rPr>
            </w:pPr>
            <w:r>
              <w:rPr>
                <w:rFonts w:hint="default" w:ascii="Times New Roman" w:hAnsi="Times New Roman" w:cs="Times New Roman"/>
              </w:rPr>
              <w:t>2008</w:t>
            </w:r>
          </w:p>
          <w:p>
            <w:pPr>
              <w:bidi w:val="0"/>
              <w:rPr>
                <w:rFonts w:hint="default" w:ascii="Times New Roman" w:hAnsi="Times New Roman" w:cs="Times New Roman"/>
              </w:rPr>
            </w:pPr>
            <w:r>
              <w:rPr>
                <w:rFonts w:hint="default" w:ascii="Times New Roman" w:hAnsi="Times New Roman" w:cs="Times New Roman"/>
              </w:rPr>
              <w:t>2009</w:t>
            </w:r>
          </w:p>
          <w:p>
            <w:pPr>
              <w:bidi w:val="0"/>
              <w:rPr>
                <w:rFonts w:hint="default" w:ascii="Times New Roman" w:hAnsi="Times New Roman" w:cs="Times New Roman"/>
              </w:rPr>
            </w:pPr>
            <w:r>
              <w:rPr>
                <w:rFonts w:hint="default" w:ascii="Times New Roman" w:hAnsi="Times New Roman" w:cs="Times New Roman"/>
              </w:rPr>
              <w:t>2010</w:t>
            </w:r>
          </w:p>
          <w:p>
            <w:pPr>
              <w:bidi w:val="0"/>
              <w:rPr>
                <w:rFonts w:hint="default" w:ascii="Times New Roman" w:hAnsi="Times New Roman" w:cs="Times New Roman"/>
              </w:rPr>
            </w:pPr>
            <w:r>
              <w:rPr>
                <w:rFonts w:hint="default" w:ascii="Times New Roman" w:hAnsi="Times New Roman" w:cs="Times New Roman"/>
              </w:rPr>
              <w:t>2011</w:t>
            </w:r>
          </w:p>
          <w:p>
            <w:pPr>
              <w:bidi w:val="0"/>
              <w:rPr>
                <w:rFonts w:hint="default" w:ascii="Times New Roman" w:hAnsi="Times New Roman" w:cs="Times New Roman"/>
              </w:rPr>
            </w:pPr>
            <w:r>
              <w:rPr>
                <w:rFonts w:hint="default" w:ascii="Times New Roman" w:hAnsi="Times New Roman" w:cs="Times New Roman"/>
              </w:rPr>
              <w:t>2012</w:t>
            </w:r>
          </w:p>
          <w:p>
            <w:pPr>
              <w:bidi w:val="0"/>
              <w:rPr>
                <w:rFonts w:hint="default" w:ascii="Times New Roman" w:hAnsi="Times New Roman" w:cs="Times New Roman"/>
              </w:rPr>
            </w:pPr>
            <w:r>
              <w:rPr>
                <w:rFonts w:hint="default" w:ascii="Times New Roman" w:hAnsi="Times New Roman" w:cs="Times New Roman"/>
              </w:rPr>
              <w:t>2013</w:t>
            </w:r>
          </w:p>
          <w:p>
            <w:pPr>
              <w:bidi w:val="0"/>
              <w:rPr>
                <w:rFonts w:hint="default" w:ascii="Times New Roman" w:hAnsi="Times New Roman" w:cs="Times New Roman"/>
              </w:rPr>
            </w:pPr>
            <w:r>
              <w:rPr>
                <w:rFonts w:hint="default" w:ascii="Times New Roman" w:hAnsi="Times New Roman" w:cs="Times New Roman"/>
              </w:rPr>
              <w:t>2014</w:t>
            </w:r>
          </w:p>
          <w:p>
            <w:pPr>
              <w:bidi w:val="0"/>
              <w:rPr>
                <w:rFonts w:hint="default" w:ascii="Times New Roman" w:hAnsi="Times New Roman" w:cs="Times New Roman"/>
              </w:rPr>
            </w:pPr>
            <w:r>
              <w:rPr>
                <w:rFonts w:hint="default" w:ascii="Times New Roman" w:hAnsi="Times New Roman" w:cs="Times New Roman"/>
              </w:rPr>
              <w:t>2015</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2016</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2017</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2018</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2019</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2020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2021</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2022</w:t>
            </w:r>
          </w:p>
        </w:tc>
        <w:tc>
          <w:tcPr>
            <w:tcW w:w="1129" w:type="dxa"/>
            <w:vAlign w:val="center"/>
          </w:tcPr>
          <w:p>
            <w:pPr>
              <w:bidi w:val="0"/>
              <w:rPr>
                <w:rFonts w:hint="default" w:ascii="Times New Roman" w:hAnsi="Times New Roman" w:cs="Times New Roman"/>
                <w:lang w:val="en-US" w:eastAsia="zh-CN"/>
              </w:rPr>
            </w:pPr>
            <w:r>
              <w:rPr>
                <w:rFonts w:hint="default" w:ascii="Times New Roman" w:hAnsi="Times New Roman" w:cs="Times New Roman"/>
                <w:lang w:val="en-US" w:eastAsia="zh-CN"/>
              </w:rPr>
              <w:t>120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120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120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144</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176</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264</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132</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208</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168</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136</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208</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244</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220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204</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216</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168</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172</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160</w:t>
            </w:r>
          </w:p>
        </w:tc>
        <w:tc>
          <w:tcPr>
            <w:tcW w:w="1903" w:type="dxa"/>
            <w:vAlign w:val="center"/>
          </w:tcPr>
          <w:p>
            <w:pPr>
              <w:bidi w:val="0"/>
              <w:rPr>
                <w:rFonts w:hint="default" w:ascii="Times New Roman" w:hAnsi="Times New Roman" w:cs="Times New Roman"/>
                <w:lang w:val="en-US" w:eastAsia="zh-CN"/>
              </w:rPr>
            </w:pPr>
            <w:r>
              <w:rPr>
                <w:rFonts w:hint="default" w:ascii="Times New Roman" w:hAnsi="Times New Roman" w:cs="Times New Roman"/>
                <w:lang w:val="en-US" w:eastAsia="zh-CN"/>
              </w:rPr>
              <w:t>212</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226</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232</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241</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180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199</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202</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185</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181</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191</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207</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181</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169</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172</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163</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158</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130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116</w:t>
            </w:r>
          </w:p>
        </w:tc>
        <w:tc>
          <w:tcPr>
            <w:tcW w:w="1387" w:type="dxa"/>
            <w:vAlign w:val="center"/>
          </w:tcPr>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80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160</w:t>
            </w:r>
          </w:p>
        </w:tc>
        <w:tc>
          <w:tcPr>
            <w:tcW w:w="944" w:type="dxa"/>
            <w:vAlign w:val="center"/>
          </w:tcPr>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332</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506</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512</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545</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516</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623</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494</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553</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509</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487</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575</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585</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549</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536</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379</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406</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462</w:t>
            </w:r>
          </w:p>
          <w:p>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kern w:val="2"/>
                <w:sz w:val="21"/>
                <w:szCs w:val="24"/>
                <w:lang w:val="en-US" w:eastAsia="zh-CN" w:bidi="ar-SA"/>
              </w:rPr>
              <w:t>436</w:t>
            </w:r>
          </w:p>
        </w:tc>
        <w:tc>
          <w:tcPr>
            <w:tcW w:w="1409" w:type="dxa"/>
            <w:vMerge w:val="continue"/>
          </w:tcPr>
          <w:p>
            <w:pPr>
              <w:ind w:firstLine="420" w:firstLineChars="20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3" w:hRule="atLeast"/>
          <w:jc w:val="center"/>
        </w:trPr>
        <w:tc>
          <w:tcPr>
            <w:tcW w:w="1288" w:type="dxa"/>
            <w:vAlign w:val="center"/>
          </w:tcPr>
          <w:p>
            <w:pPr>
              <w:numPr>
                <w:ilvl w:val="0"/>
                <w:numId w:val="0"/>
              </w:numPr>
              <w:jc w:val="center"/>
              <w:rPr>
                <w:rFonts w:hint="default" w:ascii="Times New Roman" w:hAnsi="Times New Roman" w:cs="Times New Roman" w:eastAsiaTheme="minorEastAsia"/>
                <w:b/>
                <w:bCs/>
                <w:kern w:val="2"/>
                <w:sz w:val="21"/>
                <w:szCs w:val="24"/>
                <w:vertAlign w:val="baseline"/>
                <w:lang w:val="en-US" w:eastAsia="zh-CN" w:bidi="ar-SA"/>
              </w:rPr>
            </w:pPr>
            <w:r>
              <w:rPr>
                <w:rFonts w:hint="default" w:ascii="Times New Roman" w:hAnsi="Times New Roman" w:cs="Times New Roman"/>
                <w:b/>
                <w:bCs/>
                <w:vertAlign w:val="baseline"/>
                <w:lang w:val="en-US" w:eastAsia="zh-CN"/>
              </w:rPr>
              <w:t>教育教学业绩成果</w:t>
            </w:r>
          </w:p>
        </w:tc>
        <w:tc>
          <w:tcPr>
            <w:tcW w:w="11920" w:type="dxa"/>
            <w:gridSpan w:val="7"/>
            <w:vAlign w:val="center"/>
          </w:tcPr>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1、1999年7月，益阳开放大学教师岗位，满24年，任现职19年。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2、2006、2007、2013、2017、2018、2020、2021、2022年年度考核为“优秀”。</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3、教学工作量超课时（选取课时量最高的十年）平均550课时/年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3、主持建成益阳广播电视大学“多媒体会计模拟实验室”。2004年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4、湖南电大“会计模拟实验”竞赛，学生获一等奖，本人获优秀指导奖；2004年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5、被湖南电大聘为课程责任教师，参与湖南电大电算会计专业课程建设，2006-2008</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6、湖南电大第一届多媒体课件制作大赛，获三等奖，2004年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7、湖南电大第四届微课教学比赛，获二等奖；2018年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8、“评先进、促改革”教学管理表彰，“优秀个人”，国家开放大学，2018年</w:t>
            </w:r>
          </w:p>
          <w:p>
            <w:pPr>
              <w:numPr>
                <w:ilvl w:val="0"/>
                <w:numId w:val="0"/>
              </w:numPr>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9、湖南开放大学经济管理类教师信息素养微课大赛，获二等奖，2023年</w:t>
            </w:r>
          </w:p>
          <w:p>
            <w:pPr>
              <w:jc w:val="left"/>
              <w:rPr>
                <w:rFonts w:hint="default" w:ascii="Times New Roman" w:hAnsi="Times New Roman" w:cs="Times New Roman"/>
                <w:b w:val="0"/>
                <w:bCs w:val="0"/>
                <w:vertAlign w:val="baseline"/>
                <w:lang w:val="en-US" w:eastAsia="zh-CN"/>
              </w:rPr>
            </w:pPr>
          </w:p>
          <w:p>
            <w:pPr>
              <w:jc w:val="left"/>
              <w:rPr>
                <w:rFonts w:hint="default" w:ascii="Times New Roman" w:hAnsi="Times New Roman" w:cs="Times New Roman"/>
                <w:b w:val="0"/>
                <w:bCs w:val="0"/>
                <w:vertAlign w:val="baseline"/>
                <w:lang w:val="en-US" w:eastAsia="zh-CN"/>
              </w:rPr>
            </w:pPr>
          </w:p>
          <w:p>
            <w:pPr>
              <w:jc w:val="left"/>
              <w:rPr>
                <w:rFonts w:hint="default" w:ascii="Times New Roman" w:hAnsi="Times New Roman" w:cs="Times New Roman"/>
                <w:b w:val="0"/>
                <w:bCs w:val="0"/>
                <w:vertAlign w:val="baseline"/>
                <w:lang w:val="en-US" w:eastAsia="zh-CN"/>
              </w:rPr>
            </w:pPr>
          </w:p>
        </w:tc>
        <w:tc>
          <w:tcPr>
            <w:tcW w:w="1409" w:type="dxa"/>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9" w:hRule="atLeast"/>
          <w:jc w:val="center"/>
        </w:trPr>
        <w:tc>
          <w:tcPr>
            <w:tcW w:w="1288" w:type="dxa"/>
            <w:vMerge w:val="restart"/>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科研成果及业绩</w:t>
            </w:r>
          </w:p>
        </w:tc>
        <w:tc>
          <w:tcPr>
            <w:tcW w:w="742" w:type="dxa"/>
            <w:vAlign w:val="center"/>
          </w:tcPr>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主要论著或论文</w:t>
            </w:r>
          </w:p>
        </w:tc>
        <w:tc>
          <w:tcPr>
            <w:tcW w:w="11178" w:type="dxa"/>
            <w:gridSpan w:val="6"/>
            <w:vAlign w:val="center"/>
          </w:tcPr>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w:t>
            </w:r>
            <w:r>
              <w:rPr>
                <w:rFonts w:hint="default" w:ascii="Times New Roman" w:hAnsi="Times New Roman" w:cs="Times New Roman"/>
                <w:vertAlign w:val="baseline"/>
                <w:lang w:eastAsia="zh-CN"/>
              </w:rPr>
              <w:t>行政事业单位电算会计内控管理的强化路径分析，《财会学习》，</w:t>
            </w:r>
            <w:r>
              <w:rPr>
                <w:rFonts w:hint="default" w:ascii="Times New Roman" w:hAnsi="Times New Roman" w:cs="Times New Roman"/>
                <w:vertAlign w:val="baseline"/>
                <w:lang w:val="en-US" w:eastAsia="zh-CN"/>
              </w:rPr>
              <w:t>2018，独著、学术期刊第一批1293号</w:t>
            </w:r>
          </w:p>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val="en-US" w:eastAsia="zh-CN"/>
              </w:rPr>
              <w:t>2、</w:t>
            </w:r>
            <w:r>
              <w:rPr>
                <w:rFonts w:hint="default" w:ascii="Times New Roman" w:hAnsi="Times New Roman" w:cs="Times New Roman"/>
                <w:vertAlign w:val="baseline"/>
                <w:lang w:eastAsia="zh-CN"/>
              </w:rPr>
              <w:t>基于微课的翻转教学模式在成人网络教育中的应用，《现代职业教育》，</w:t>
            </w:r>
            <w:r>
              <w:rPr>
                <w:rFonts w:hint="default" w:ascii="Times New Roman" w:hAnsi="Times New Roman" w:cs="Times New Roman"/>
                <w:vertAlign w:val="baseline"/>
                <w:lang w:val="en-US" w:eastAsia="zh-CN"/>
              </w:rPr>
              <w:t>2018，独著</w:t>
            </w:r>
          </w:p>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val="en-US" w:eastAsia="zh-CN"/>
              </w:rPr>
              <w:t>3、</w:t>
            </w:r>
            <w:r>
              <w:rPr>
                <w:rFonts w:hint="default" w:ascii="Times New Roman" w:hAnsi="Times New Roman" w:cs="Times New Roman"/>
                <w:vertAlign w:val="baseline"/>
                <w:lang w:eastAsia="zh-CN"/>
              </w:rPr>
              <w:t>全面预算管理在高校财务管理中的运用，《财会学习》，</w:t>
            </w:r>
            <w:r>
              <w:rPr>
                <w:rFonts w:hint="default" w:ascii="Times New Roman" w:hAnsi="Times New Roman" w:cs="Times New Roman"/>
                <w:vertAlign w:val="baseline"/>
                <w:lang w:val="en-US" w:eastAsia="zh-CN"/>
              </w:rPr>
              <w:t>2021，独著，学术期刊第一批1293号（代表作1）</w:t>
            </w:r>
          </w:p>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val="en-US" w:eastAsia="zh-CN"/>
              </w:rPr>
              <w:t>4、</w:t>
            </w:r>
            <w:r>
              <w:rPr>
                <w:rFonts w:hint="default" w:ascii="Times New Roman" w:hAnsi="Times New Roman" w:cs="Times New Roman"/>
                <w:vertAlign w:val="baseline"/>
                <w:lang w:eastAsia="zh-CN"/>
              </w:rPr>
              <w:t>地方电大开放教育融合职业教育的可行性研究，《科教导刊》，</w:t>
            </w:r>
            <w:r>
              <w:rPr>
                <w:rFonts w:hint="default" w:ascii="Times New Roman" w:hAnsi="Times New Roman" w:cs="Times New Roman"/>
                <w:vertAlign w:val="baseline"/>
                <w:lang w:val="en-US" w:eastAsia="zh-CN"/>
              </w:rPr>
              <w:t>2021，独著，学术期刊第一批4324号</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w:t>
            </w:r>
            <w:r>
              <w:rPr>
                <w:rFonts w:hint="default" w:ascii="Times New Roman" w:hAnsi="Times New Roman" w:cs="Times New Roman"/>
                <w:vertAlign w:val="baseline"/>
                <w:lang w:eastAsia="zh-CN"/>
              </w:rPr>
              <w:t>乡村振兴背景下开放教育与高职教育融合机制研究</w:t>
            </w:r>
            <w:r>
              <w:rPr>
                <w:rFonts w:hint="default" w:ascii="Times New Roman" w:hAnsi="Times New Roman" w:cs="Times New Roman"/>
                <w:vertAlign w:val="baseline"/>
                <w:lang w:val="en-US" w:eastAsia="zh-CN"/>
              </w:rPr>
              <w:t>——以益阳市村（社区）基层组织人才定向培养为例，《科教文汇》，2023，独著，学术期刊第二批365号（代表作2）</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6、预算管理一体化对高校财务的影响分析，</w:t>
            </w:r>
            <w:r>
              <w:rPr>
                <w:rFonts w:hint="default" w:ascii="Times New Roman" w:hAnsi="Times New Roman" w:cs="Times New Roman"/>
                <w:vertAlign w:val="baseline"/>
                <w:lang w:eastAsia="zh-CN"/>
              </w:rPr>
              <w:t>《财会学习》，</w:t>
            </w:r>
            <w:r>
              <w:rPr>
                <w:rFonts w:hint="default" w:ascii="Times New Roman" w:hAnsi="Times New Roman" w:cs="Times New Roman"/>
                <w:vertAlign w:val="baseline"/>
                <w:lang w:val="en-US" w:eastAsia="zh-CN"/>
              </w:rPr>
              <w:t>2023，独著，学术期刊第一批1293号</w:t>
            </w:r>
          </w:p>
          <w:p>
            <w:pPr>
              <w:jc w:val="both"/>
              <w:rPr>
                <w:rFonts w:hint="default" w:ascii="Times New Roman" w:hAnsi="Times New Roman" w:cs="Times New Roman"/>
                <w:vertAlign w:val="baseline"/>
                <w:lang w:val="en-US" w:eastAsia="zh-CN"/>
              </w:rPr>
            </w:pPr>
          </w:p>
          <w:p>
            <w:pPr>
              <w:jc w:val="both"/>
              <w:rPr>
                <w:rFonts w:hint="default" w:ascii="Times New Roman" w:hAnsi="Times New Roman" w:cs="Times New Roman"/>
                <w:vertAlign w:val="baseline"/>
                <w:lang w:val="en-US" w:eastAsia="zh-CN"/>
              </w:rPr>
            </w:pPr>
          </w:p>
        </w:tc>
        <w:tc>
          <w:tcPr>
            <w:tcW w:w="1409" w:type="dxa"/>
            <w:vMerge w:val="restart"/>
            <w:vAlign w:val="top"/>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4" w:hRule="atLeast"/>
          <w:jc w:val="center"/>
        </w:trPr>
        <w:tc>
          <w:tcPr>
            <w:tcW w:w="1288" w:type="dxa"/>
            <w:vMerge w:val="continue"/>
            <w:vAlign w:val="center"/>
          </w:tcPr>
          <w:p>
            <w:pPr>
              <w:jc w:val="both"/>
              <w:rPr>
                <w:rFonts w:hint="default" w:ascii="Times New Roman" w:hAnsi="Times New Roman" w:cs="Times New Roman"/>
              </w:rPr>
            </w:pPr>
          </w:p>
        </w:tc>
        <w:tc>
          <w:tcPr>
            <w:tcW w:w="742" w:type="dxa"/>
            <w:vAlign w:val="center"/>
          </w:tcPr>
          <w:p>
            <w:pPr>
              <w:jc w:val="both"/>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承担或参与的科研技术开放项目及获奖情况</w:t>
            </w:r>
          </w:p>
        </w:tc>
        <w:tc>
          <w:tcPr>
            <w:tcW w:w="11178" w:type="dxa"/>
            <w:gridSpan w:val="6"/>
            <w:vAlign w:val="center"/>
          </w:tcPr>
          <w:p>
            <w:pPr>
              <w:jc w:val="both"/>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w:t>
            </w:r>
            <w:r>
              <w:rPr>
                <w:rFonts w:hint="default" w:ascii="Times New Roman" w:hAnsi="Times New Roman" w:cs="Times New Roman"/>
                <w:vertAlign w:val="baseline"/>
                <w:lang w:eastAsia="zh-CN"/>
              </w:rPr>
              <w:t>地方电大开放教育融合职业教育的可行性研究，</w:t>
            </w:r>
            <w:r>
              <w:rPr>
                <w:rFonts w:hint="default" w:ascii="Times New Roman" w:hAnsi="Times New Roman" w:cs="Times New Roman"/>
                <w:vertAlign w:val="baseline"/>
                <w:lang w:val="en-US" w:eastAsia="zh-CN"/>
              </w:rPr>
              <w:t>2019年益阳市社科联一般项目，</w:t>
            </w:r>
            <w:r>
              <w:rPr>
                <w:rFonts w:hint="default" w:ascii="Times New Roman" w:hAnsi="Times New Roman" w:cs="Times New Roman"/>
                <w:kern w:val="0"/>
                <w:szCs w:val="21"/>
                <w:lang w:val="en-US" w:eastAsia="zh-CN"/>
              </w:rPr>
              <w:t>2019YS176，排名第一，结题。</w:t>
            </w:r>
          </w:p>
          <w:p>
            <w:pPr>
              <w:jc w:val="both"/>
              <w:rPr>
                <w:rFonts w:hint="default" w:ascii="Times New Roman" w:hAnsi="Times New Roman" w:cs="Times New Roman"/>
                <w:kern w:val="0"/>
                <w:szCs w:val="21"/>
                <w:lang w:val="en-US" w:eastAsia="zh-CN"/>
              </w:rPr>
            </w:pPr>
            <w:r>
              <w:rPr>
                <w:rFonts w:hint="default" w:ascii="Times New Roman" w:hAnsi="Times New Roman" w:cs="Times New Roman"/>
                <w:b/>
                <w:bCs/>
                <w:sz w:val="18"/>
                <w:szCs w:val="18"/>
                <w:lang w:val="en-US" w:eastAsia="zh-CN"/>
              </w:rPr>
              <w:t>2、</w:t>
            </w:r>
            <w:r>
              <w:rPr>
                <w:rFonts w:hint="default" w:ascii="Times New Roman" w:hAnsi="Times New Roman" w:cs="Times New Roman"/>
                <w:kern w:val="0"/>
                <w:szCs w:val="21"/>
                <w:lang w:eastAsia="zh-CN"/>
              </w:rPr>
              <w:t>乡村振兴背景下开放教育与高职教育融合机制研究——以益阳市村（社区）基层组织人才定向培养为例，</w:t>
            </w:r>
            <w:r>
              <w:rPr>
                <w:rFonts w:hint="default" w:ascii="Times New Roman" w:hAnsi="Times New Roman" w:cs="Times New Roman"/>
                <w:kern w:val="0"/>
                <w:szCs w:val="21"/>
                <w:lang w:val="en-US" w:eastAsia="zh-CN"/>
              </w:rPr>
              <w:t>2021，湖南开放大学一般课题，DK-2021-C-5，排名第一，结题。</w:t>
            </w:r>
          </w:p>
          <w:p>
            <w:pPr>
              <w:jc w:val="both"/>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3、在服务地方继续教育中展现益阳开放大学作为，2022年益阳市社科联专项课题，2022YS442，排名第一，结题。</w:t>
            </w:r>
          </w:p>
          <w:p>
            <w:pPr>
              <w:numPr>
                <w:ilvl w:val="0"/>
                <w:numId w:val="0"/>
              </w:numPr>
              <w:jc w:val="left"/>
              <w:rPr>
                <w:rFonts w:hint="default" w:ascii="Times New Roman" w:hAnsi="Times New Roman" w:cs="Times New Roman"/>
                <w:b/>
                <w:bCs/>
                <w:vertAlign w:val="baseline"/>
                <w:lang w:val="en-US" w:eastAsia="zh-CN"/>
              </w:rPr>
            </w:pPr>
            <w:r>
              <w:rPr>
                <w:rFonts w:hint="default" w:ascii="Times New Roman" w:hAnsi="Times New Roman" w:cs="Times New Roman"/>
                <w:b w:val="0"/>
                <w:bCs w:val="0"/>
                <w:vertAlign w:val="baseline"/>
                <w:lang w:val="en-US" w:eastAsia="zh-CN"/>
              </w:rPr>
              <w:t>论文在“益阳市深入学习贯彻党的二十大精神”理论征文获三等奖。</w:t>
            </w:r>
          </w:p>
          <w:p>
            <w:pPr>
              <w:jc w:val="both"/>
              <w:rPr>
                <w:rFonts w:hint="default" w:ascii="Times New Roman" w:hAnsi="Times New Roman" w:cs="Times New Roman"/>
                <w:b/>
                <w:bCs/>
                <w:sz w:val="18"/>
                <w:szCs w:val="18"/>
                <w:lang w:val="en-US" w:eastAsia="zh-CN"/>
              </w:rPr>
            </w:pPr>
            <w:r>
              <w:rPr>
                <w:rFonts w:hint="default" w:ascii="Times New Roman" w:hAnsi="Times New Roman" w:cs="Times New Roman"/>
                <w:kern w:val="0"/>
                <w:szCs w:val="21"/>
                <w:lang w:val="en-US" w:eastAsia="zh-CN"/>
              </w:rPr>
              <w:t>4、</w:t>
            </w:r>
            <w:r>
              <w:rPr>
                <w:rFonts w:hint="default" w:ascii="Times New Roman" w:hAnsi="Times New Roman" w:cs="Times New Roman"/>
                <w:kern w:val="0"/>
                <w:szCs w:val="21"/>
                <w:lang w:eastAsia="zh-CN"/>
              </w:rPr>
              <w:t>“预算管理一体化”下</w:t>
            </w:r>
            <w:r>
              <w:rPr>
                <w:rFonts w:hint="default" w:ascii="Times New Roman" w:hAnsi="Times New Roman" w:cs="Times New Roman"/>
                <w:kern w:val="0"/>
                <w:szCs w:val="21"/>
                <w:lang w:val="en-US" w:eastAsia="zh-CN"/>
              </w:rPr>
              <w:t>益阳市</w:t>
            </w:r>
            <w:r>
              <w:rPr>
                <w:rFonts w:hint="default" w:ascii="Times New Roman" w:hAnsi="Times New Roman" w:cs="Times New Roman"/>
                <w:kern w:val="0"/>
                <w:szCs w:val="21"/>
                <w:lang w:eastAsia="zh-CN"/>
              </w:rPr>
              <w:t>基层行政事业单位预算绩效管理的实践与思考，</w:t>
            </w:r>
            <w:r>
              <w:rPr>
                <w:rFonts w:hint="default" w:ascii="Times New Roman" w:hAnsi="Times New Roman" w:cs="Times New Roman"/>
                <w:kern w:val="0"/>
                <w:szCs w:val="21"/>
                <w:lang w:val="en-US" w:eastAsia="zh-CN"/>
              </w:rPr>
              <w:t>2023年</w:t>
            </w:r>
            <w:r>
              <w:rPr>
                <w:rFonts w:hint="default" w:ascii="Times New Roman" w:hAnsi="Times New Roman" w:cs="Times New Roman"/>
                <w:vertAlign w:val="baseline"/>
                <w:lang w:val="en-US" w:eastAsia="zh-CN"/>
              </w:rPr>
              <w:t>益阳市社科联一般项目，</w:t>
            </w:r>
            <w:r>
              <w:rPr>
                <w:rFonts w:hint="default" w:ascii="Times New Roman" w:hAnsi="Times New Roman" w:cs="Times New Roman"/>
                <w:kern w:val="0"/>
                <w:szCs w:val="21"/>
                <w:lang w:val="en-US" w:eastAsia="zh-CN"/>
              </w:rPr>
              <w:t>2023YS328，排名第一，在研。</w:t>
            </w:r>
          </w:p>
          <w:p>
            <w:pPr>
              <w:jc w:val="both"/>
              <w:rPr>
                <w:rFonts w:hint="default" w:ascii="Times New Roman" w:hAnsi="Times New Roman" w:cs="Times New Roman"/>
                <w:vertAlign w:val="baseline"/>
                <w:lang w:val="en-US" w:eastAsia="zh-CN"/>
              </w:rPr>
            </w:pPr>
            <w:r>
              <w:rPr>
                <w:rFonts w:hint="default" w:ascii="Times New Roman" w:hAnsi="Times New Roman" w:cs="Times New Roman"/>
                <w:kern w:val="0"/>
                <w:szCs w:val="21"/>
                <w:lang w:val="en-US" w:eastAsia="zh-CN"/>
              </w:rPr>
              <w:t>5、专项课题论文“在服务地方继续教育中展现益阳开放大学作为”在</w:t>
            </w:r>
            <w:r>
              <w:rPr>
                <w:rFonts w:hint="default" w:ascii="Times New Roman" w:hAnsi="Times New Roman" w:cs="Times New Roman"/>
                <w:b w:val="0"/>
                <w:bCs w:val="0"/>
                <w:vertAlign w:val="baseline"/>
                <w:lang w:val="en-US" w:eastAsia="zh-CN"/>
              </w:rPr>
              <w:t>“益阳市深入学习贯彻党的二十大精神”理论征文中，获三等奖益阳市社科联，2022年。</w:t>
            </w:r>
          </w:p>
          <w:p>
            <w:pPr>
              <w:jc w:val="both"/>
              <w:rPr>
                <w:rFonts w:hint="default" w:ascii="Times New Roman" w:hAnsi="Times New Roman" w:cs="Times New Roman"/>
                <w:vertAlign w:val="baseline"/>
                <w:lang w:val="en-US" w:eastAsia="zh-CN"/>
              </w:rPr>
            </w:pPr>
          </w:p>
        </w:tc>
        <w:tc>
          <w:tcPr>
            <w:tcW w:w="1409" w:type="dxa"/>
            <w:vMerge w:val="continue"/>
            <w:vAlign w:val="top"/>
          </w:tcPr>
          <w:p>
            <w:pPr>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8" w:hRule="atLeast"/>
          <w:jc w:val="center"/>
        </w:trPr>
        <w:tc>
          <w:tcPr>
            <w:tcW w:w="1288" w:type="dxa"/>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社会服务</w:t>
            </w:r>
          </w:p>
        </w:tc>
        <w:tc>
          <w:tcPr>
            <w:tcW w:w="1192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1、2002年，取得中级统计师</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2、2004年，取得中级会计师</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3、2020年-2023年，益阳教育学院，聘为“大数据与会计”专业责任教师</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ascii="Times New Roman" w:hAnsi="Times New Roman" w:cs="Times New Roman"/>
                <w:vertAlign w:val="baseline"/>
                <w:lang w:val="en-US" w:eastAsia="zh-CN"/>
              </w:rPr>
            </w:pPr>
          </w:p>
        </w:tc>
        <w:tc>
          <w:tcPr>
            <w:tcW w:w="1409" w:type="dxa"/>
            <w:vAlign w:val="top"/>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w:t>
            </w: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并盖章</w:t>
            </w:r>
          </w:p>
        </w:tc>
      </w:tr>
    </w:tbl>
    <w:p/>
    <w:sectPr>
      <w:headerReference r:id="rId3" w:type="default"/>
      <w:footerReference r:id="rId4" w:type="default"/>
      <w:pgSz w:w="16838" w:h="11906" w:orient="landscape"/>
      <w:pgMar w:top="1984" w:right="1440" w:bottom="952" w:left="1383"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6C86ADB5-2AB5-4414-A868-B5CD0D47A6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益阳开放大学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谌艳 </w:t>
    </w:r>
    <w:r>
      <w:rPr>
        <w:rFonts w:hint="eastAsia"/>
        <w:sz w:val="30"/>
        <w:szCs w:val="30"/>
        <w:u w:val="none"/>
        <w:lang w:val="en-US" w:eastAsia="zh-CN"/>
      </w:rPr>
      <w:t xml:space="preserve">  申报职称：</w:t>
    </w:r>
    <w:r>
      <w:rPr>
        <w:rFonts w:hint="eastAsia"/>
        <w:sz w:val="30"/>
        <w:szCs w:val="30"/>
        <w:u w:val="single"/>
        <w:lang w:val="en-US" w:eastAsia="zh-CN"/>
      </w:rPr>
      <w:t xml:space="preserve">副教授 </w:t>
    </w:r>
    <w:r>
      <w:rPr>
        <w:rFonts w:hint="eastAsia"/>
        <w:sz w:val="30"/>
        <w:szCs w:val="30"/>
        <w:u w:val="none"/>
        <w:lang w:val="en-US" w:eastAsia="zh-CN"/>
      </w:rPr>
      <w:t xml:space="preserve">  学科（专业）：</w:t>
    </w:r>
    <w:r>
      <w:rPr>
        <w:rFonts w:hint="eastAsia"/>
        <w:sz w:val="30"/>
        <w:szCs w:val="30"/>
        <w:u w:val="single"/>
        <w:lang w:val="en-US" w:eastAsia="zh-CN"/>
      </w:rPr>
      <w:t xml:space="preserve">高教管理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MzRiZTc4OTg2OGE2YmIzMWNiOGRlMjAzY2RlOWUifQ=="/>
  </w:docVars>
  <w:rsids>
    <w:rsidRoot w:val="56A9350E"/>
    <w:rsid w:val="011253ED"/>
    <w:rsid w:val="017334E8"/>
    <w:rsid w:val="038340E2"/>
    <w:rsid w:val="05F63BB9"/>
    <w:rsid w:val="0786286D"/>
    <w:rsid w:val="08346622"/>
    <w:rsid w:val="09B371A0"/>
    <w:rsid w:val="0A8C34D8"/>
    <w:rsid w:val="0B2E2A96"/>
    <w:rsid w:val="110D3F66"/>
    <w:rsid w:val="11752C0E"/>
    <w:rsid w:val="133E33ED"/>
    <w:rsid w:val="15BE749A"/>
    <w:rsid w:val="18300B23"/>
    <w:rsid w:val="18D41D66"/>
    <w:rsid w:val="19F26FDA"/>
    <w:rsid w:val="1A375F62"/>
    <w:rsid w:val="1BA2405D"/>
    <w:rsid w:val="1CAE5116"/>
    <w:rsid w:val="200A72B4"/>
    <w:rsid w:val="208C720F"/>
    <w:rsid w:val="21D01414"/>
    <w:rsid w:val="225E739B"/>
    <w:rsid w:val="230F5B30"/>
    <w:rsid w:val="27B23302"/>
    <w:rsid w:val="29456345"/>
    <w:rsid w:val="29CB6B42"/>
    <w:rsid w:val="2D0F0096"/>
    <w:rsid w:val="2F367CE8"/>
    <w:rsid w:val="2F39519C"/>
    <w:rsid w:val="301C0398"/>
    <w:rsid w:val="31CE41CD"/>
    <w:rsid w:val="325771B0"/>
    <w:rsid w:val="350902DA"/>
    <w:rsid w:val="357C6EC6"/>
    <w:rsid w:val="36C400A0"/>
    <w:rsid w:val="3A1664DE"/>
    <w:rsid w:val="3AA06FEA"/>
    <w:rsid w:val="3CC316B6"/>
    <w:rsid w:val="3D6A2339"/>
    <w:rsid w:val="3EAD431F"/>
    <w:rsid w:val="3F321FB4"/>
    <w:rsid w:val="400006D7"/>
    <w:rsid w:val="42EF4FB3"/>
    <w:rsid w:val="48AF3B53"/>
    <w:rsid w:val="49726E69"/>
    <w:rsid w:val="4B252A08"/>
    <w:rsid w:val="4D731F0A"/>
    <w:rsid w:val="4DAB7D28"/>
    <w:rsid w:val="4E444B90"/>
    <w:rsid w:val="4E651408"/>
    <w:rsid w:val="4F1638C7"/>
    <w:rsid w:val="500E459E"/>
    <w:rsid w:val="50CC5E28"/>
    <w:rsid w:val="51702451"/>
    <w:rsid w:val="51951A89"/>
    <w:rsid w:val="537624A9"/>
    <w:rsid w:val="55075E42"/>
    <w:rsid w:val="552E2FE9"/>
    <w:rsid w:val="55713605"/>
    <w:rsid w:val="55D10548"/>
    <w:rsid w:val="5623455D"/>
    <w:rsid w:val="56A9350E"/>
    <w:rsid w:val="5B81356B"/>
    <w:rsid w:val="5CF13B81"/>
    <w:rsid w:val="5E5A54F4"/>
    <w:rsid w:val="5F131121"/>
    <w:rsid w:val="5F64678F"/>
    <w:rsid w:val="5FCB6C3B"/>
    <w:rsid w:val="60331F07"/>
    <w:rsid w:val="6105187E"/>
    <w:rsid w:val="61957557"/>
    <w:rsid w:val="61BE18D7"/>
    <w:rsid w:val="626C6261"/>
    <w:rsid w:val="62EC2125"/>
    <w:rsid w:val="63D854C3"/>
    <w:rsid w:val="677E24DE"/>
    <w:rsid w:val="6A282625"/>
    <w:rsid w:val="6B113ED5"/>
    <w:rsid w:val="6B2F7D93"/>
    <w:rsid w:val="6BF568E6"/>
    <w:rsid w:val="6C7D05FF"/>
    <w:rsid w:val="726B5B54"/>
    <w:rsid w:val="745909A9"/>
    <w:rsid w:val="75D2632D"/>
    <w:rsid w:val="76BD1F02"/>
    <w:rsid w:val="76EB7E51"/>
    <w:rsid w:val="789F7201"/>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2525</Words>
  <Characters>2924</Characters>
  <Lines>0</Lines>
  <Paragraphs>0</Paragraphs>
  <TotalTime>9</TotalTime>
  <ScaleCrop>false</ScaleCrop>
  <LinksUpToDate>false</LinksUpToDate>
  <CharactersWithSpaces>2935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恒丰彭</cp:lastModifiedBy>
  <cp:lastPrinted>2023-11-17T05:17:24Z</cp:lastPrinted>
  <dcterms:modified xsi:type="dcterms:W3CDTF">2023-11-17T05:17:27Z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3A468972CB33472EB13338F20216BD01_13</vt:lpwstr>
  </property>
</Properties>
</file>