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A4CF9">
      <w:pPr>
        <w:pStyle w:val="15"/>
      </w:pPr>
      <mc:AlternateContent>
        <mc:Choice Requires="wpsCustomData">
          <wpsCustomData:docfieldStart id="0" docfieldname="标题_1" hidden="0" print="1" readonly="0" index="2"/>
        </mc:Choice>
      </mc:AlternateContent>
      <w:r>
        <w:rPr>
          <w:rFonts w:hint="eastAsia"/>
          <w:lang w:val="en-US" w:eastAsia="zh-CN"/>
        </w:rPr>
        <w:t>2026年湖南开放大学</w:t>
      </w:r>
      <w:r>
        <w:t>老年教育</w:t>
      </w:r>
    </w:p>
    <w:p w14:paraId="6BEA1FCB">
      <w:pPr>
        <w:pStyle w:val="15"/>
        <w:widowControl/>
      </w:pPr>
      <w:r>
        <w:t>精品</w:t>
      </w:r>
      <w:r>
        <w:rPr>
          <w:rFonts w:hint="eastAsia"/>
          <w:lang w:val="en-US" w:eastAsia="zh-CN"/>
        </w:rPr>
        <w:t>视频</w:t>
      </w:r>
      <w:r>
        <w:t>课程建设要求与建设标准</w:t>
      </w:r>
      <mc:AlternateContent>
        <mc:Choice Requires="wpsCustomData">
          <wpsCustomData:docfieldEnd id="0"/>
        </mc:Choice>
      </mc:AlternateContent>
    </w:p>
    <w:p w14:paraId="520704FB">
      <w:pPr>
        <w:pStyle w:val="11"/>
        <w:bidi w:val="0"/>
        <w:spacing w:beforeAutospacing="0" w:afterAutospacing="0" w:line="300" w:lineRule="exact"/>
        <w:rPr>
          <w:rFonts w:hint="eastAsia"/>
          <w:lang w:eastAsia="zh-CN"/>
        </w:rPr>
      </w:pPr>
      <w:bookmarkStart w:id="0" w:name="heading_0"/>
    </w:p>
    <w:p w14:paraId="470F7C7E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jc w:val="both"/>
        <w:textAlignment w:val="auto"/>
        <w:rPr>
          <w:b w:val="0"/>
        </w:rPr>
      </w:pPr>
      <w:r>
        <w:rPr>
          <w:rFonts w:hint="eastAsia"/>
          <w:lang w:eastAsia="zh-CN"/>
        </w:rPr>
        <w:t>一、</w:t>
      </w:r>
      <w:r>
        <w:t>建设要求</w:t>
      </w:r>
      <w:bookmarkEnd w:id="0"/>
    </w:p>
    <w:p w14:paraId="60E5489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坚持立德树人，贯彻党的教育方针，落实积极老龄观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确保课程意识形态安全</w:t>
      </w:r>
      <w:r>
        <w:rPr>
          <w:rFonts w:hint="eastAsia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以“实用、便捷、适老、优质”为原则，确保课程针对性强、覆盖面广、兼顾地域特色。内容科学准确，与时俱进，融入新发展理念。课程须合规原创，有独立知识产权，严禁抄袭盗用。</w:t>
      </w:r>
    </w:p>
    <w:p w14:paraId="6AAAAC70">
      <w:pPr>
        <w:pStyle w:val="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jc w:val="both"/>
        <w:textAlignment w:val="auto"/>
        <w:rPr>
          <w:rFonts w:hint="eastAsia"/>
          <w:lang w:val="en-US" w:eastAsia="zh-CN"/>
        </w:rPr>
      </w:pPr>
      <w:bookmarkStart w:id="1" w:name="heading_7"/>
      <w:r>
        <w:rPr>
          <w:rFonts w:hint="eastAsia"/>
          <w:lang w:val="en-US" w:eastAsia="zh-CN"/>
        </w:rPr>
        <w:t>建设范围</w:t>
      </w:r>
    </w:p>
    <w:p w14:paraId="1A950B44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本次共计新建 </w:t>
      </w:r>
      <w:r>
        <w:rPr>
          <w:rFonts w:hint="eastAsia" w:cs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仿宋_GB2312"/>
          <w:sz w:val="32"/>
          <w:szCs w:val="32"/>
        </w:rPr>
        <w:t>0 门网络精品课程，结合全省老年教育需求特点，合理分配课程领域，确保课程覆盖面广泛、针对性强。具体领域及数量分配如下（可根据申报实际情况进行微调）：</w:t>
      </w:r>
    </w:p>
    <w:p w14:paraId="4BD61E7F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 数字生活安全赋能类</w:t>
      </w:r>
    </w:p>
    <w:p w14:paraId="568C0D0C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面向老年人跨越数字鸿沟、守护财产安全刚需，集中建设高频实用课程：微信便民办事、医保社保线上查询、手机挂号就医、网络购物安全、智能设备居家使用、电信诈骗全场景防骗、养老理财风险识别、个人信息安全保护、智慧社区一键服务。</w:t>
      </w:r>
    </w:p>
    <w:p w14:paraId="52AFE532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 健康养生科学康养类</w:t>
      </w:r>
    </w:p>
    <w:p w14:paraId="5B6FCD58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坚持科学健康、正规科普，杜绝伪养生：科学慢病管理、高血压血糖居家监测、合理膳食老年营养、安全居家运动康复、中医科学保健穴位日常养护、合理用药安全常识、老年心理情绪调适、睡眠健康科学管理、跌倒预防居家安全防护。</w:t>
      </w:r>
    </w:p>
    <w:p w14:paraId="7E87C3DB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 文化素养生活品质类</w:t>
      </w:r>
    </w:p>
    <w:p w14:paraId="4BF957E1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突出本土文化、地域特色：湖南非遗传统文化赏析、湘剧曲艺入门、书法绘画基础公益课、诗词诵读与传统文化、老年摄影手机实拍、合唱声乐基础、老年旅游安全与省内文旅研学、隔代科学家庭教育、</w:t>
      </w:r>
      <w:r>
        <w:rPr>
          <w:rFonts w:hint="eastAsia" w:cs="仿宋_GB2312"/>
          <w:sz w:val="32"/>
          <w:szCs w:val="32"/>
          <w:lang w:eastAsia="zh-CN"/>
        </w:rPr>
        <w:t>老年人权益</w:t>
      </w:r>
      <w:r>
        <w:rPr>
          <w:rFonts w:ascii="Times New Roman" w:hAnsi="Times New Roman" w:eastAsia="仿宋_GB2312" w:cs="仿宋_GB2312"/>
          <w:sz w:val="32"/>
          <w:szCs w:val="32"/>
        </w:rPr>
        <w:t>法律保护与养老法律服务。</w:t>
      </w:r>
    </w:p>
    <w:p w14:paraId="15B9D0A5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4.湖湘红色资源类</w:t>
      </w:r>
    </w:p>
    <w:p w14:paraId="7374628E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结合庆祝红军长征胜利90周年活动主题，建设系列红军长征课程资源。（由省校与第三方合作共建）</w:t>
      </w:r>
    </w:p>
    <w:p w14:paraId="60AF6F5A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b w:val="0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、</w:t>
      </w:r>
      <w:r>
        <w:t>建设标准</w:t>
      </w:r>
      <w:bookmarkEnd w:id="1"/>
      <w:bookmarkStart w:id="10" w:name="_GoBack"/>
      <w:bookmarkEnd w:id="10"/>
    </w:p>
    <w:p w14:paraId="13184AD0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2" w:name="heading_8"/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课程</w:t>
      </w:r>
      <w:bookmarkEnd w:id="2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标准</w:t>
      </w:r>
    </w:p>
    <w:p w14:paraId="09315CC1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28"/>
          <w:b/>
          <w:bCs/>
        </w:rPr>
        <w:t>整体框架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>每门课程需具备明确的课程目标、教学大纲与教学计划，整体结构完整、逻辑清晰，涵盖课程介绍、教学单元、课后巩固（可选）等模块，以保障老年人能够开展系统化学习。</w:t>
      </w:r>
    </w:p>
    <w:p w14:paraId="62DE2C7C"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28"/>
          <w:b/>
          <w:bCs/>
        </w:rPr>
        <w:t>课时设置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>采用微课形式，单节微课时长控制在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5－15</w:t>
      </w:r>
      <w:r>
        <w:rPr>
          <w:rFonts w:ascii="Times New Roman" w:hAnsi="Times New Roman" w:eastAsia="仿宋_GB2312" w:cs="仿宋_GB2312"/>
          <w:sz w:val="32"/>
          <w:szCs w:val="32"/>
        </w:rPr>
        <w:t>分钟。每门课程总课时应不少于10个且不超过20个微课视频，总时长不得超过300分钟；课时安排需科学合理，知识点应遵循由浅入深、循序渐进的原则，契合老年人的学习节奏。</w:t>
      </w:r>
    </w:p>
    <w:p w14:paraId="1391CFA3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3"/>
          <w:rFonts w:ascii="Times New Roman" w:hAnsi="Times New Roman" w:eastAsia="仿宋_GB2312" w:cs="仿宋_GB2312"/>
          <w:b/>
          <w:bCs/>
          <w:sz w:val="32"/>
          <w:szCs w:val="32"/>
        </w:rPr>
        <w:t>课程介绍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>需明确课程目标、主要内容、适用人群及学习建议等，语言应简洁明晰，以便老年人快速掌握课程核心价值。</w:t>
      </w:r>
    </w:p>
    <w:p w14:paraId="6DC5A40A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3"/>
          <w:rFonts w:ascii="Times New Roman" w:hAnsi="Times New Roman" w:eastAsia="仿宋_GB2312" w:cs="仿宋_GB2312"/>
          <w:b/>
          <w:bCs/>
          <w:sz w:val="32"/>
          <w:szCs w:val="32"/>
        </w:rPr>
        <w:t>课程内容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>整体内容结构合理，知识脉络完整；每门课程聚焦</w:t>
      </w:r>
      <w:r>
        <w:rPr>
          <w:rFonts w:ascii="Times New Roman" w:hAnsi="Times New Roman" w:eastAsia="仿宋_GB2312" w:cs="仿宋_GB2312"/>
          <w:spacing wpsCustomData:val="11" w:val="21"/>
          <w:sz w:val="32"/>
          <w:szCs w:val="32"/>
        </w:rPr>
        <w:t>单一主题，至少包含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1</w:t>
      </w:r>
      <w:r>
        <w:rPr>
          <w:rFonts w:ascii="Times New Roman" w:hAnsi="Times New Roman" w:eastAsia="仿宋_GB2312" w:cs="仿宋_GB2312"/>
          <w:spacing wpsCustomData:val="-20" w:val="-41"/>
          <w:sz w:val="32"/>
          <w:szCs w:val="32"/>
        </w:rPr>
        <w:t>0</w:t>
      </w:r>
      <w:r>
        <w:rPr>
          <w:rFonts w:ascii="Times New Roman" w:hAnsi="Times New Roman" w:eastAsia="仿宋_GB2312" w:cs="仿宋_GB2312"/>
          <w:spacing wpsCustomData:val="11" w:val="21"/>
          <w:sz w:val="32"/>
          <w:szCs w:val="32"/>
        </w:rPr>
        <w:t>个微课，每个微课需聚焦单个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知</w:t>
      </w:r>
      <w:r>
        <w:rPr>
          <w:rFonts w:ascii="Times New Roman" w:hAnsi="Times New Roman" w:eastAsia="仿宋_GB2312" w:cs="仿宋_GB2312"/>
          <w:sz w:val="32"/>
          <w:szCs w:val="32"/>
        </w:rPr>
        <w:t>识点。</w:t>
      </w:r>
    </w:p>
    <w:p w14:paraId="704BCBCF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b/>
          <w:bCs/>
        </w:rPr>
      </w:pPr>
      <w:r>
        <w:rPr>
          <w:rStyle w:val="23"/>
          <w:rFonts w:ascii="Times New Roman" w:hAnsi="Times New Roman" w:eastAsia="仿宋_GB2312" w:cs="仿宋_GB2312"/>
          <w:b/>
          <w:bCs/>
          <w:sz w:val="32"/>
          <w:szCs w:val="32"/>
        </w:rPr>
        <w:t>课后巩固（可选）</w:t>
      </w:r>
      <w:r>
        <w:rPr>
          <w:rFonts w:ascii="Times New Roman" w:hAnsi="Times New Roman" w:eastAsia="仿宋_GB2312" w:cs="仿宋_GB2312"/>
          <w:sz w:val="32"/>
          <w:szCs w:val="32"/>
        </w:rPr>
        <w:t>：结合课程内容设置操作简便的实践任务，旨在帮助老年人巩固学习成果，提升学习参与感与获得感。</w:t>
      </w:r>
      <w:bookmarkStart w:id="3" w:name="heading_10"/>
      <w:r>
        <w:rPr>
          <w:rFonts w:hint="eastAsia" w:cs="仿宋_GB2312"/>
          <w:sz w:val="32"/>
          <w:szCs w:val="32"/>
          <w:lang w:val="en-US" w:eastAsia="zh-CN"/>
        </w:rPr>
        <w:t xml:space="preserve">            </w:t>
      </w:r>
      <w:bookmarkEnd w:id="3"/>
      <w:bookmarkStart w:id="4" w:name="heading_11"/>
    </w:p>
    <w:p w14:paraId="6FC9CBDC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技术标准</w:t>
      </w:r>
    </w:p>
    <w:p w14:paraId="228A8851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b/>
          <w:bCs/>
        </w:rPr>
        <w:t>视频标准</w:t>
      </w:r>
      <w:bookmarkEnd w:id="4"/>
      <w:r>
        <w:rPr>
          <w:rFonts w:hint="eastAsia"/>
          <w:b/>
          <w:bCs/>
          <w:lang w:eastAsia="zh-CN"/>
        </w:rPr>
        <w:t>：</w:t>
      </w:r>
      <w:r>
        <w:rPr>
          <w:rStyle w:val="27"/>
          <w:rFonts w:ascii="Times New Roman" w:hAnsi="Times New Roman" w:eastAsia="仿宋_GB2312" w:cs="仿宋_GB2312"/>
          <w:sz w:val="32"/>
          <w:szCs w:val="32"/>
        </w:rPr>
        <w:t>分辨率不低于1920×1080（1080P），宽高比为16</w:t>
      </w:r>
      <w:r>
        <w:rPr>
          <w:rFonts w:ascii="Times New Roman" w:hAnsi="Times New Roman" w:eastAsia="仿宋_GB2312" w:cs="仿宋_GB2312"/>
          <w:sz w:val="32"/>
          <w:szCs w:val="32"/>
        </w:rPr>
        <w:t>:9，画面清晰，无模糊、抖动、雪花点现象；色彩自然均匀，无明显色差。</w:t>
      </w:r>
    </w:p>
    <w:p w14:paraId="1711C578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b/>
          <w:bCs/>
          <w:sz w:val="32"/>
          <w:szCs w:val="32"/>
        </w:rPr>
        <w:t>编码与格式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>采用H.264／H.265编码，输出格式为MP4，兼容性强，支持主流播放器播放；视频码流率不低于8000Kb（CBR），帧速率不低于25fps，图像信噪比不低于55dB。</w:t>
      </w:r>
    </w:p>
    <w:p w14:paraId="56BA0A9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b/>
          <w:bCs/>
          <w:sz w:val="32"/>
          <w:szCs w:val="32"/>
        </w:rPr>
        <w:t>画面呈现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仿宋_GB2312"/>
          <w:sz w:val="32"/>
          <w:szCs w:val="32"/>
        </w:rPr>
        <w:t>镜头稳定，聚焦准确；教师出镜时衣着整洁、精神饱满，背景简洁无干扰；演示类课程画面应清晰展示操作过程，便于老年人观看学习。</w:t>
      </w:r>
    </w:p>
    <w:p w14:paraId="381C064A"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jc w:val="both"/>
        <w:textAlignment w:val="auto"/>
        <w:rPr>
          <w:rFonts w:hint="eastAsia" w:eastAsia="仿宋_GB2312"/>
          <w:b/>
          <w:bCs/>
          <w:lang w:eastAsia="zh-CN"/>
        </w:rPr>
      </w:pPr>
      <w:bookmarkStart w:id="5" w:name="heading_12"/>
      <w:r>
        <w:rPr>
          <w:b/>
          <w:bCs/>
        </w:rPr>
        <w:t>音频标准</w:t>
      </w:r>
      <w:bookmarkEnd w:id="5"/>
    </w:p>
    <w:p w14:paraId="38C7D88A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音质</w:t>
      </w:r>
      <w:r>
        <w:rPr>
          <w:rFonts w:ascii="Times New Roman" w:hAnsi="Times New Roman" w:eastAsia="仿宋_GB2312" w:cs="仿宋_GB2312"/>
          <w:sz w:val="32"/>
          <w:szCs w:val="32"/>
        </w:rPr>
        <w:t>：声音清晰，无杂音、回声、交流声，音量适中均匀，无忽大忽小现象；音频采样率不低于48kHz，位深不低于16bit，采用AAC编码，双声道。</w:t>
      </w:r>
    </w:p>
    <w:p w14:paraId="2CF8B85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语言</w:t>
      </w:r>
      <w:r>
        <w:rPr>
          <w:rFonts w:ascii="Times New Roman" w:hAnsi="Times New Roman" w:eastAsia="仿宋_GB2312" w:cs="仿宋_GB2312"/>
          <w:sz w:val="32"/>
          <w:szCs w:val="32"/>
        </w:rPr>
        <w:t>：教师语言标准，语速适中（每分钟120－150字），口齿清晰、语气亲切，避免使用方言（特殊特色课程除外）；必</w:t>
      </w:r>
    </w:p>
    <w:p w14:paraId="775ED450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要时可添加字幕，辅助老年人理解。</w:t>
      </w:r>
    </w:p>
    <w:p w14:paraId="1CCE302A"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jc w:val="both"/>
        <w:textAlignment w:val="auto"/>
        <w:rPr>
          <w:b/>
          <w:bCs/>
        </w:rPr>
      </w:pPr>
      <w:bookmarkStart w:id="6" w:name="heading_13"/>
      <w:r>
        <w:rPr>
          <w:b/>
          <w:bCs/>
        </w:rPr>
        <w:t>字幕标准</w:t>
      </w:r>
      <w:bookmarkEnd w:id="6"/>
    </w:p>
    <w:p w14:paraId="2F33F0A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字体</w:t>
      </w:r>
      <w:r>
        <w:rPr>
          <w:rFonts w:ascii="Times New Roman" w:hAnsi="Times New Roman" w:eastAsia="仿宋_GB2312" w:cs="仿宋_GB2312"/>
          <w:sz w:val="32"/>
          <w:szCs w:val="32"/>
        </w:rPr>
        <w:t>：采用清晰易读的宋体或黑体，字号不小于32号，颜色与背景对比明显，便于老年人识别。</w:t>
      </w:r>
    </w:p>
    <w:p w14:paraId="3570C8B8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内容</w:t>
      </w:r>
      <w:r>
        <w:rPr>
          <w:rFonts w:ascii="Times New Roman" w:hAnsi="Times New Roman" w:eastAsia="仿宋_GB2312" w:cs="仿宋_GB2312"/>
          <w:sz w:val="32"/>
          <w:szCs w:val="32"/>
        </w:rPr>
        <w:t>：字幕应与音频同步，无错字、漏字、多字现象；语句通顺，符合课程内容，重点内容可适当加粗，便于老年人抓取核心信息。</w:t>
      </w:r>
    </w:p>
    <w:p w14:paraId="6C63DE95">
      <w:pPr>
        <w:pStyle w:val="4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jc w:val="both"/>
        <w:textAlignment w:val="auto"/>
        <w:rPr>
          <w:b/>
          <w:bCs/>
        </w:rPr>
      </w:pPr>
      <w:bookmarkStart w:id="7" w:name="heading_14"/>
      <w:r>
        <w:rPr>
          <w:b/>
          <w:bCs/>
        </w:rPr>
        <w:t>文本与素材标准</w:t>
      </w:r>
      <w:bookmarkEnd w:id="7"/>
    </w:p>
    <w:p w14:paraId="4F1BFAAE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文本</w:t>
      </w:r>
      <w:r>
        <w:rPr>
          <w:rFonts w:ascii="Times New Roman" w:hAnsi="Times New Roman" w:eastAsia="仿宋_GB2312" w:cs="仿宋_GB2312"/>
          <w:sz w:val="32"/>
          <w:szCs w:val="32"/>
        </w:rPr>
        <w:t>：课程简介、教学大纲、知识点讲解等文本内容，字体清晰、格式规范，无错别字、语病；语言简洁明了，适配老年人阅读能力。</w:t>
      </w:r>
    </w:p>
    <w:p w14:paraId="2812DF5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素材</w:t>
      </w:r>
      <w:r>
        <w:rPr>
          <w:rFonts w:ascii="Times New Roman" w:hAnsi="Times New Roman" w:eastAsia="仿宋_GB2312" w:cs="仿宋_GB2312"/>
          <w:sz w:val="32"/>
          <w:szCs w:val="32"/>
        </w:rPr>
        <w:t>：图片、动画、演示文稿等素材应清晰无模糊，格式规范（图片为JPG、PNG格式，动画为MP4、GIF格式，演示文稿为PPT、PPTX格式）；素材内容与课程主题相关，避免无关、冗余素材。</w:t>
      </w:r>
    </w:p>
    <w:p w14:paraId="2A9AA9F5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8" w:name="heading_15"/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适老化</w:t>
      </w:r>
      <w:bookmarkEnd w:id="8"/>
    </w:p>
    <w:p w14:paraId="02DB54F2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操作适配</w:t>
      </w:r>
      <w:r>
        <w:rPr>
          <w:rFonts w:ascii="Times New Roman" w:hAnsi="Times New Roman" w:eastAsia="仿宋_GB2312" w:cs="仿宋_GB2312"/>
          <w:sz w:val="32"/>
          <w:szCs w:val="32"/>
        </w:rPr>
        <w:t>：课程播放界面应简洁，播放、暂停、后退、快进等按钮应清晰醒目、尺寸适中，便于老年人点击操作；支持自动播放、循环播放功能，减少老年人操作步骤。</w:t>
      </w:r>
    </w:p>
    <w:p w14:paraId="14287FCB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视觉适配与界面友好</w:t>
      </w:r>
      <w:r>
        <w:rPr>
          <w:rFonts w:ascii="Times New Roman" w:hAnsi="Times New Roman" w:eastAsia="仿宋_GB2312" w:cs="仿宋_GB2312"/>
          <w:sz w:val="32"/>
          <w:szCs w:val="32"/>
        </w:rPr>
        <w:t>：界面设计应简洁清晰、易于操作，避免复杂交互逻辑；色彩搭配需柔和不刺眼，优先采用浅色背景，确保文字与背景具有较高对比度；避免使用复杂动画及闪烁元素，防止老年人产生视觉疲劳。</w:t>
      </w:r>
    </w:p>
    <w:p w14:paraId="61BD439E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z w:val="32"/>
          <w:szCs w:val="32"/>
        </w:rPr>
        <w:t>内容适配</w:t>
      </w:r>
      <w:r>
        <w:rPr>
          <w:rFonts w:ascii="Times New Roman" w:hAnsi="Times New Roman" w:eastAsia="仿宋_GB2312" w:cs="仿宋_GB2312"/>
          <w:sz w:val="32"/>
          <w:szCs w:val="32"/>
        </w:rPr>
        <w:t>：课程内容难度设置应科学适中，避免涉及过于复杂的理论阐释与操作流程；针对老年人数字技能薄弱及学习能力相对较弱的特点，数字类课程需采用分步讲解与反复演示相结合的教学方式，确保老年人能够适应学习节奏。</w:t>
      </w:r>
    </w:p>
    <w:p w14:paraId="1A367938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9" w:name="heading_16"/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验 收</w:t>
      </w:r>
      <w:bookmarkEnd w:id="9"/>
    </w:p>
    <w:p w14:paraId="79B949E1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pacing w:val="0"/>
          <w:kern w:val="0"/>
          <w:sz w:val="32"/>
          <w:szCs w:val="32"/>
          <w:fitText w:val="1280" w:id="1701724827"/>
        </w:rPr>
        <w:t>材料完备</w:t>
      </w:r>
      <w:r>
        <w:rPr>
          <w:rFonts w:ascii="Times New Roman" w:hAnsi="Times New Roman" w:eastAsia="仿宋_GB2312" w:cs="仿宋_GB2312"/>
          <w:sz w:val="32"/>
          <w:szCs w:val="32"/>
        </w:rPr>
        <w:t>：课程建设完成后，需提交课程视频、音频、文本素材、教学大纲、课程介绍、版权证明、团队资质证明等相关材料，且所有材料应完整规范。</w:t>
      </w:r>
    </w:p>
    <w:p w14:paraId="2DCF2C70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pacing w:val="0"/>
          <w:kern w:val="0"/>
          <w:sz w:val="32"/>
          <w:szCs w:val="32"/>
          <w:fitText w:val="1280" w:id="251093851"/>
        </w:rPr>
        <w:t>质量合格</w:t>
      </w:r>
      <w:r>
        <w:rPr>
          <w:rFonts w:ascii="Times New Roman" w:hAnsi="Times New Roman" w:eastAsia="仿宋_GB2312" w:cs="仿宋_GB2312"/>
          <w:sz w:val="32"/>
          <w:szCs w:val="32"/>
        </w:rPr>
        <w:t>：课程内容、技术呈现、适老化设计等需符合本标准要求，无违规内容及质量问题；课程试运行期间，学习人次应不少于500人次，用户满意度不低于90</w:t>
      </w:r>
      <w:r>
        <w:rPr>
          <w:rFonts w:ascii="Times New Roman" w:hAnsi="Times New Roman" w:eastAsia="仿宋_GB2312" w:cs="仿宋_GB2312"/>
          <w:b w:val="0"/>
          <w:sz w:val="32"/>
          <w:szCs w:val="32"/>
        </w:rPr>
        <w:t>％。</w:t>
      </w:r>
    </w:p>
    <w:p w14:paraId="79834FF0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pacing w:val="0"/>
          <w:kern w:val="0"/>
          <w:sz w:val="32"/>
          <w:szCs w:val="32"/>
          <w:fitText w:val="1280" w:id="782261800"/>
        </w:rPr>
        <w:t>共享可用</w:t>
      </w:r>
      <w:r>
        <w:rPr>
          <w:rFonts w:ascii="Times New Roman" w:hAnsi="Times New Roman" w:eastAsia="仿宋_GB2312" w:cs="仿宋_GB2312"/>
          <w:sz w:val="32"/>
          <w:szCs w:val="32"/>
        </w:rPr>
        <w:t>：课程应可正常上传至全省老年教育网络课程资源库，支持多终端播放与共享，且无播放故障；需建立课程更新维护机制，保障课程长期稳定可用。</w:t>
      </w:r>
    </w:p>
    <w:p w14:paraId="3183E13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7"/>
          <w:rFonts w:ascii="Times New Roman" w:hAnsi="Times New Roman" w:eastAsia="仿宋_GB2312" w:cs="仿宋_GB2312"/>
          <w:spacing w:val="0"/>
          <w:kern w:val="0"/>
          <w:sz w:val="32"/>
          <w:szCs w:val="32"/>
          <w:fitText w:val="1280" w:id="1276787245"/>
        </w:rPr>
        <w:t>特色显著</w:t>
      </w:r>
      <w:r>
        <w:rPr>
          <w:rFonts w:ascii="Times New Roman" w:hAnsi="Times New Roman" w:eastAsia="仿宋_GB2312" w:cs="仿宋_GB2312"/>
          <w:sz w:val="32"/>
          <w:szCs w:val="32"/>
        </w:rPr>
        <w:t>：鼓励课程具备创新性、地域性与特色性，能够形成示范效应，为全省老年教育网络课程建设提供实践借鉴。</w:t>
      </w:r>
    </w:p>
    <w:p w14:paraId="7A25AED2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</w:p>
    <w:p w14:paraId="3CB81952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28"/>
          <w:szCs w:val="28"/>
        </w:rPr>
      </w:pPr>
    </w:p>
    <w:p w14:paraId="632079D6">
      <w:pPr>
        <w:pStyle w:val="11"/>
        <w:bidi w:val="0"/>
        <w:jc w:val="left"/>
        <w:rPr>
          <w:rFonts w:hint="eastAsia"/>
          <w:b/>
          <w:bCs/>
        </w:rPr>
      </w:pPr>
    </w:p>
    <w:sectPr>
      <w:headerReference r:id="rId3" w:type="default"/>
      <w:footerReference r:id="rId4" w:type="default"/>
      <w:footerReference r:id="rId5" w:type="even"/>
      <w:pgSz w:w="11905" w:h="16840"/>
      <w:pgMar w:top="2098" w:right="1474" w:bottom="1984" w:left="1587" w:header="851" w:footer="1417" w:gutter="0"/>
      <w:pgNumType w:fmt="decimal" w:start="1"/>
      <w:cols w:space="720" w:num="1"/>
      <w:titlePg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F6801AE-BD87-4590-8AB9-4B6240763E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A1D39DD-5E8A-4292-A18E-47E0F31ACA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0642148-9D40-48B9-B830-7C866B2F46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D605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F5558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EBF5558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09A8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4711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9C4711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73E66">
    <w:pPr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6521C"/>
    <w:multiLevelType w:val="singleLevel"/>
    <w:tmpl w:val="0E26521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noPunctuationKerning w:val="1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1400D"/>
    <w:rsid w:val="11810A0F"/>
    <w:rsid w:val="11C10E95"/>
    <w:rsid w:val="17B25C84"/>
    <w:rsid w:val="1B7A20B5"/>
    <w:rsid w:val="1CA64716"/>
    <w:rsid w:val="359E5E79"/>
    <w:rsid w:val="380158F4"/>
    <w:rsid w:val="41F60D19"/>
    <w:rsid w:val="482A0052"/>
    <w:rsid w:val="4B101F6A"/>
    <w:rsid w:val="4CEF395A"/>
    <w:rsid w:val="53CE220A"/>
    <w:rsid w:val="567333AD"/>
    <w:rsid w:val="58504589"/>
    <w:rsid w:val="594C5C48"/>
    <w:rsid w:val="5B445318"/>
    <w:rsid w:val="5C401F83"/>
    <w:rsid w:val="5E9345EC"/>
    <w:rsid w:val="665C7F15"/>
    <w:rsid w:val="6EF03395"/>
    <w:rsid w:val="6F5508FF"/>
    <w:rsid w:val="7320459A"/>
    <w:rsid w:val="73F21A89"/>
    <w:rsid w:val="7FFD5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0">
    <w:name w:val="标题 4 Char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2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2">
    <w:name w:val="标题 3 Char1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3">
    <w:name w:val="标题 4 Char1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4">
    <w:name w:val="标题 3 Char2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5">
    <w:name w:val="标题 4 Char2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6">
    <w:name w:val="标题 3 Char3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7">
    <w:name w:val="标题 4 Char3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8">
    <w:name w:val="标题 3 Char4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5ce2a764-9bf8-4c6f-bfd2-532fdb93eebe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60E54892</paraID>
      <start>101</start>
      <end>102</end>
      <status>ignored</status>
      <modifiedWord/>
      <trackRevisions>false</trackRevisions>
    </reviewItem>
    <reviewItem>
      <errorID>046e5a68-a643-422f-a430-a2d5fc4a82d7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56BA0A99</paraID>
      <start>47</start>
      <end>48</end>
      <status>ignored</status>
      <modifiedWord/>
      <trackRevisions>false</trackRevisions>
    </reviewItem>
    <reviewItem>
      <errorID>1bf683a8-262a-4fe7-a803-808c7b049524</errorID>
      <errorWord>需</errorWord>
      <group>L1_Word</group>
      <groupName>字词问题</groupName>
      <ability>L2_Typo</ability>
      <abilityName>字词错误</abilityName>
      <candidateList>
        <item>须</item>
      </candidateList>
      <explain>（鬚）xū❶原来指长在下巴上的胡子，后来泛指胡须：～发｜～眉。❷须子：触～｜花～。</explain>
      <paraID>2DCF2C70</paraID>
      <start>21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aca8e-0616-46cb-9db3-9cb80bc58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2106</Words>
  <Characters>2191</Characters>
  <TotalTime>4</TotalTime>
  <ScaleCrop>false</ScaleCrop>
  <LinksUpToDate>false</LinksUpToDate>
  <CharactersWithSpaces>2209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2026-04-10T01:00:00Z</dcterms:created>
  <dc:creator>Apache POI</dc:creator>
  <cp:lastModifiedBy>卢欣悦</cp:lastModifiedBy>
  <cp:lastPrinted>2026-04-20T03:18:00Z</cp:lastPrinted>
  <dcterms:modified xsi:type="dcterms:W3CDTF">2026-04-27T03:37:15Z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eyJoZGlkIjoiMzhmZjQ5YTNmMzdiZWUxMzc3YWRhNmY2Njg3ZmMzNGQiLCJ1c2VySWQiOiIyNDgzMDk4MzMifQ==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BF80B0FF527143DA94569A3B7D0FF3E6_13</vt:lpwstr>
  </property>
  <property fmtid="{D5CDD505-2E9C-101B-9397-08002B2CF9AE}" pid="5" name="标题_1">
    <vt:lpwstr>湖南开放大学老年教育网络精品课程_x000B_建设要求与建设标准</vt:lpwstr>
  </property>
  <property fmtid="{D5CDD505-2E9C-101B-9397-08002B2CF9AE}" pid="6" name="附件说明_1">
    <vt:lpwstr>附件：湖南开放大学老年教育优质课程建设指标湖南开放大学老年教育优质课程建设项目申报书湖南开放大学老年教育优质课程建设项目申报汇总表  </vt:lpwstr>
  </property>
  <property fmtid="{D5CDD505-2E9C-101B-9397-08002B2CF9AE}" pid="7" name="标题_2">
    <vt:lpwstr>湖南开放大学老年教育网络精品课程建设指标</vt:lpwstr>
  </property>
  <property fmtid="{D5CDD505-2E9C-101B-9397-08002B2CF9AE}" pid="8" name="标题_3">
    <vt:lpwstr>湖南开放大学老年教育网络精品课程_x000B_项目申报书</vt:lpwstr>
  </property>
  <property fmtid="{D5CDD505-2E9C-101B-9397-08002B2CF9AE}" pid="9" name="标题_4">
    <vt:lpwstr>湖南开放大学老年教育网络精品课程项目申报汇总表  </vt:lpwstr>
  </property>
</Properties>
</file>